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2C015F" w:rsidRDefault="00AD2688" w:rsidP="00F17F78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2C015F">
        <w:rPr>
          <w:rStyle w:val="FontStyle221"/>
          <w:sz w:val="24"/>
          <w:szCs w:val="24"/>
        </w:rPr>
        <w:t>Утвержден</w:t>
      </w:r>
    </w:p>
    <w:p w:rsidR="00AD2688" w:rsidRPr="002C015F" w:rsidRDefault="00AD2688" w:rsidP="00F17F78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2C015F">
        <w:rPr>
          <w:rStyle w:val="FontStyle221"/>
          <w:sz w:val="24"/>
          <w:szCs w:val="24"/>
        </w:rPr>
        <w:t>Решением Коллегии</w:t>
      </w:r>
    </w:p>
    <w:p w:rsidR="00AD2688" w:rsidRPr="002C015F" w:rsidRDefault="00AD2688" w:rsidP="00F17F78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2C015F">
        <w:rPr>
          <w:rStyle w:val="FontStyle221"/>
          <w:sz w:val="24"/>
          <w:szCs w:val="24"/>
        </w:rPr>
        <w:t>Контрольно-счетной палаты</w:t>
      </w:r>
    </w:p>
    <w:p w:rsidR="00AD2688" w:rsidRPr="002C015F" w:rsidRDefault="00AD2688" w:rsidP="00F17F78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2C015F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2C015F" w:rsidRDefault="00AD2688" w:rsidP="00F17F78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2C015F">
        <w:rPr>
          <w:rStyle w:val="FontStyle221"/>
          <w:sz w:val="24"/>
          <w:szCs w:val="24"/>
        </w:rPr>
        <w:t xml:space="preserve">№ </w:t>
      </w:r>
      <w:r w:rsidR="00927ECD" w:rsidRPr="002C015F">
        <w:rPr>
          <w:rStyle w:val="FontStyle221"/>
          <w:sz w:val="24"/>
          <w:szCs w:val="24"/>
        </w:rPr>
        <w:t xml:space="preserve">4 </w:t>
      </w:r>
      <w:r w:rsidRPr="002C015F">
        <w:rPr>
          <w:rStyle w:val="FontStyle221"/>
          <w:sz w:val="24"/>
          <w:szCs w:val="24"/>
        </w:rPr>
        <w:t xml:space="preserve">от </w:t>
      </w:r>
      <w:r w:rsidR="00F17F78" w:rsidRPr="002C015F">
        <w:rPr>
          <w:rStyle w:val="FontStyle221"/>
          <w:sz w:val="24"/>
          <w:szCs w:val="24"/>
        </w:rPr>
        <w:t>29</w:t>
      </w:r>
      <w:r w:rsidRPr="002C015F">
        <w:rPr>
          <w:rStyle w:val="FontStyle221"/>
          <w:sz w:val="24"/>
          <w:szCs w:val="24"/>
        </w:rPr>
        <w:t>.0</w:t>
      </w:r>
      <w:r w:rsidR="00927ECD" w:rsidRPr="002C015F">
        <w:rPr>
          <w:rStyle w:val="FontStyle221"/>
          <w:sz w:val="24"/>
          <w:szCs w:val="24"/>
        </w:rPr>
        <w:t>4</w:t>
      </w:r>
      <w:r w:rsidRPr="002C015F">
        <w:rPr>
          <w:rStyle w:val="FontStyle221"/>
          <w:sz w:val="24"/>
          <w:szCs w:val="24"/>
        </w:rPr>
        <w:t>. 2019 года</w:t>
      </w:r>
    </w:p>
    <w:p w:rsidR="00AD2688" w:rsidRPr="002C015F" w:rsidRDefault="00AD2688" w:rsidP="00F17F78">
      <w:pPr>
        <w:pStyle w:val="Style4"/>
        <w:spacing w:line="360" w:lineRule="auto"/>
        <w:jc w:val="left"/>
        <w:rPr>
          <w:rStyle w:val="FontStyle221"/>
          <w:b w:val="0"/>
          <w:bCs w:val="0"/>
          <w:sz w:val="24"/>
          <w:szCs w:val="24"/>
        </w:rPr>
      </w:pPr>
    </w:p>
    <w:p w:rsidR="00AD2688" w:rsidRPr="002C015F" w:rsidRDefault="00AD2688" w:rsidP="00F17F78">
      <w:pPr>
        <w:pStyle w:val="Style4"/>
        <w:spacing w:line="360" w:lineRule="auto"/>
        <w:rPr>
          <w:rStyle w:val="FontStyle221"/>
          <w:b w:val="0"/>
          <w:bCs w:val="0"/>
          <w:sz w:val="24"/>
          <w:szCs w:val="24"/>
        </w:rPr>
      </w:pPr>
    </w:p>
    <w:p w:rsidR="00AD2688" w:rsidRPr="002C015F" w:rsidRDefault="00AD2688" w:rsidP="00F17F78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2C015F">
        <w:rPr>
          <w:rStyle w:val="FontStyle221"/>
          <w:sz w:val="28"/>
          <w:szCs w:val="28"/>
        </w:rPr>
        <w:t>ОТЧЕТ</w:t>
      </w:r>
    </w:p>
    <w:p w:rsidR="00AD2688" w:rsidRPr="002C015F" w:rsidRDefault="00AD2688" w:rsidP="00F17F78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2C015F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</w:t>
      </w:r>
      <w:r w:rsidR="00927ECD" w:rsidRPr="002C015F">
        <w:rPr>
          <w:rStyle w:val="FontStyle221"/>
          <w:sz w:val="28"/>
          <w:szCs w:val="28"/>
        </w:rPr>
        <w:t xml:space="preserve"> 1 квартал</w:t>
      </w:r>
      <w:r w:rsidRPr="002C015F">
        <w:rPr>
          <w:rStyle w:val="FontStyle221"/>
          <w:sz w:val="28"/>
          <w:szCs w:val="28"/>
        </w:rPr>
        <w:t xml:space="preserve"> 201</w:t>
      </w:r>
      <w:r w:rsidR="00927ECD" w:rsidRPr="002C015F">
        <w:rPr>
          <w:rStyle w:val="FontStyle221"/>
          <w:sz w:val="28"/>
          <w:szCs w:val="28"/>
        </w:rPr>
        <w:t>9</w:t>
      </w:r>
      <w:r w:rsidRPr="002C015F">
        <w:rPr>
          <w:rStyle w:val="FontStyle221"/>
          <w:sz w:val="28"/>
          <w:szCs w:val="28"/>
        </w:rPr>
        <w:t xml:space="preserve"> год</w:t>
      </w:r>
      <w:r w:rsidR="00927ECD" w:rsidRPr="002C015F">
        <w:rPr>
          <w:rStyle w:val="FontStyle221"/>
          <w:sz w:val="28"/>
          <w:szCs w:val="28"/>
        </w:rPr>
        <w:t>а</w:t>
      </w:r>
    </w:p>
    <w:p w:rsidR="00AD2688" w:rsidRPr="002C015F" w:rsidRDefault="00AD2688" w:rsidP="00F17F78">
      <w:pPr>
        <w:pStyle w:val="Style12"/>
        <w:spacing w:line="360" w:lineRule="auto"/>
        <w:rPr>
          <w:rStyle w:val="FontStyle277"/>
          <w:sz w:val="28"/>
          <w:szCs w:val="28"/>
        </w:rPr>
      </w:pPr>
    </w:p>
    <w:p w:rsidR="00AD2688" w:rsidRPr="002C015F" w:rsidRDefault="00AD2688" w:rsidP="00F17F78">
      <w:pPr>
        <w:pStyle w:val="Style12"/>
        <w:spacing w:line="360" w:lineRule="auto"/>
        <w:jc w:val="center"/>
        <w:rPr>
          <w:rStyle w:val="FontStyle277"/>
          <w:sz w:val="16"/>
          <w:szCs w:val="16"/>
        </w:rPr>
      </w:pPr>
      <w:r w:rsidRPr="002C015F">
        <w:rPr>
          <w:rStyle w:val="FontStyle277"/>
          <w:sz w:val="28"/>
          <w:szCs w:val="28"/>
        </w:rPr>
        <w:t>1. Основные итоги работы</w:t>
      </w:r>
    </w:p>
    <w:p w:rsidR="00AD2688" w:rsidRPr="002C015F" w:rsidRDefault="00AD2688" w:rsidP="00F17F78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За </w:t>
      </w:r>
      <w:r w:rsidR="00927ECD" w:rsidRPr="002C015F">
        <w:rPr>
          <w:rStyle w:val="FontStyle221"/>
          <w:b w:val="0"/>
          <w:sz w:val="28"/>
          <w:szCs w:val="28"/>
        </w:rPr>
        <w:t>1 квартал 2019 года</w:t>
      </w:r>
      <w:r w:rsidR="00927ECD" w:rsidRPr="002C015F">
        <w:rPr>
          <w:rStyle w:val="FontStyle278"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Контрольно-счетной палатой</w:t>
      </w:r>
      <w:r w:rsidRPr="002C015F">
        <w:rPr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Карачаево-Черкесской Республики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 xml:space="preserve">проведено </w:t>
      </w:r>
      <w:r w:rsidR="006B51D7" w:rsidRPr="002C015F">
        <w:rPr>
          <w:rStyle w:val="FontStyle278"/>
          <w:sz w:val="28"/>
          <w:szCs w:val="28"/>
        </w:rPr>
        <w:t>13</w:t>
      </w:r>
      <w:r w:rsidRPr="002C015F">
        <w:rPr>
          <w:rStyle w:val="FontStyle278"/>
          <w:sz w:val="28"/>
          <w:szCs w:val="28"/>
        </w:rPr>
        <w:t xml:space="preserve"> контрольных и экспертно-аналитических мероприятий, в том числе:</w:t>
      </w:r>
    </w:p>
    <w:p w:rsidR="00AD2688" w:rsidRPr="002C015F" w:rsidRDefault="00AD2688" w:rsidP="00F17F78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контрольных мероприятий – </w:t>
      </w:r>
      <w:r w:rsidR="006B51D7" w:rsidRPr="002C015F">
        <w:rPr>
          <w:rStyle w:val="FontStyle278"/>
          <w:sz w:val="28"/>
          <w:szCs w:val="28"/>
        </w:rPr>
        <w:t>8</w:t>
      </w:r>
      <w:r w:rsidRPr="002C015F">
        <w:rPr>
          <w:rStyle w:val="FontStyle278"/>
          <w:sz w:val="28"/>
          <w:szCs w:val="28"/>
        </w:rPr>
        <w:t>;</w:t>
      </w:r>
    </w:p>
    <w:p w:rsidR="00AD2688" w:rsidRPr="002C015F" w:rsidRDefault="00AD2688" w:rsidP="00F17F78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экспертно-аналитических мероприятий – </w:t>
      </w:r>
      <w:r w:rsidR="006B51D7" w:rsidRPr="002C015F">
        <w:rPr>
          <w:rStyle w:val="FontStyle278"/>
          <w:sz w:val="28"/>
          <w:szCs w:val="28"/>
        </w:rPr>
        <w:t>5, в том числе</w:t>
      </w:r>
      <w:r w:rsidR="006B51D7" w:rsidRPr="002C015F">
        <w:t xml:space="preserve"> </w:t>
      </w:r>
      <w:r w:rsidR="006B51D7" w:rsidRPr="002C015F">
        <w:rPr>
          <w:sz w:val="28"/>
          <w:szCs w:val="28"/>
        </w:rPr>
        <w:t>экспертиз проектов законодательных и иных нормативных правовых актов</w:t>
      </w:r>
      <w:r w:rsidR="006B51D7" w:rsidRPr="002C015F">
        <w:rPr>
          <w:rStyle w:val="FontStyle278"/>
          <w:sz w:val="28"/>
          <w:szCs w:val="28"/>
        </w:rPr>
        <w:t xml:space="preserve"> 5.</w:t>
      </w:r>
    </w:p>
    <w:p w:rsidR="00AD2688" w:rsidRPr="002C015F" w:rsidRDefault="00AD2688" w:rsidP="00F17F78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Контрольными мероприятиями было охвачено </w:t>
      </w:r>
      <w:r w:rsidR="006B51D7" w:rsidRPr="002C015F">
        <w:rPr>
          <w:rStyle w:val="FontStyle278"/>
          <w:sz w:val="28"/>
          <w:szCs w:val="28"/>
        </w:rPr>
        <w:t>19</w:t>
      </w:r>
      <w:r w:rsidRPr="002C015F">
        <w:rPr>
          <w:rStyle w:val="FontStyle278"/>
          <w:sz w:val="28"/>
          <w:szCs w:val="28"/>
        </w:rPr>
        <w:t xml:space="preserve"> объектов на территории Карачаево-Черкесской Республики.</w:t>
      </w:r>
    </w:p>
    <w:p w:rsidR="00AD2688" w:rsidRPr="002C015F" w:rsidRDefault="00AD2688" w:rsidP="00F17F78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>По результатам контрольных мероприятий, с учетом встречных проверок, составлено</w:t>
      </w:r>
      <w:r w:rsidR="00F17F78" w:rsidRPr="002C015F">
        <w:rPr>
          <w:rStyle w:val="FontStyle278"/>
          <w:sz w:val="28"/>
          <w:szCs w:val="28"/>
        </w:rPr>
        <w:t xml:space="preserve"> 19</w:t>
      </w:r>
      <w:r w:rsidRPr="002C015F">
        <w:rPr>
          <w:rStyle w:val="FontStyle278"/>
          <w:sz w:val="28"/>
          <w:szCs w:val="28"/>
        </w:rPr>
        <w:t xml:space="preserve"> актов. </w:t>
      </w:r>
    </w:p>
    <w:p w:rsidR="00AD2688" w:rsidRPr="002C015F" w:rsidRDefault="00AD2688" w:rsidP="00F17F78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C015F">
        <w:rPr>
          <w:rStyle w:val="FontStyle278"/>
          <w:sz w:val="28"/>
          <w:szCs w:val="28"/>
        </w:rPr>
        <w:t xml:space="preserve">        Из </w:t>
      </w:r>
      <w:r w:rsidR="00F316DB" w:rsidRPr="002C015F">
        <w:rPr>
          <w:rStyle w:val="FontStyle278"/>
          <w:sz w:val="28"/>
          <w:szCs w:val="28"/>
        </w:rPr>
        <w:t>8</w:t>
      </w:r>
      <w:r w:rsidRPr="002C015F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Pr="002C015F">
        <w:rPr>
          <w:rStyle w:val="FontStyle278"/>
          <w:sz w:val="28"/>
          <w:szCs w:val="28"/>
        </w:rPr>
        <w:t>и</w:t>
      </w:r>
      <w:r w:rsidR="00F316DB" w:rsidRPr="002C015F">
        <w:rPr>
          <w:rStyle w:val="FontStyle278"/>
          <w:sz w:val="28"/>
          <w:szCs w:val="28"/>
        </w:rPr>
        <w:t xml:space="preserve"> 5</w:t>
      </w:r>
      <w:r w:rsidRPr="002C015F">
        <w:rPr>
          <w:rStyle w:val="FontStyle278"/>
          <w:sz w:val="28"/>
          <w:szCs w:val="28"/>
        </w:rPr>
        <w:t xml:space="preserve"> экспертно-аналитических мероприятий</w:t>
      </w:r>
      <w:r w:rsidRPr="002C015F">
        <w:rPr>
          <w:rFonts w:ascii="Times New Roman" w:hAnsi="Times New Roman" w:cs="Times New Roman"/>
          <w:sz w:val="28"/>
          <w:szCs w:val="28"/>
        </w:rPr>
        <w:t>,  включены в план работы на 201</w:t>
      </w:r>
      <w:r w:rsidR="00407ED5" w:rsidRPr="002C015F">
        <w:rPr>
          <w:rFonts w:ascii="Times New Roman" w:hAnsi="Times New Roman" w:cs="Times New Roman"/>
          <w:sz w:val="28"/>
          <w:szCs w:val="28"/>
        </w:rPr>
        <w:t>9</w:t>
      </w:r>
      <w:r w:rsidRPr="002C015F">
        <w:rPr>
          <w:rFonts w:ascii="Times New Roman" w:hAnsi="Times New Roman" w:cs="Times New Roman"/>
          <w:sz w:val="28"/>
          <w:szCs w:val="28"/>
        </w:rPr>
        <w:t xml:space="preserve"> год </w:t>
      </w:r>
      <w:r w:rsidR="00F316DB" w:rsidRPr="002C015F">
        <w:rPr>
          <w:rFonts w:ascii="Times New Roman" w:hAnsi="Times New Roman" w:cs="Times New Roman"/>
          <w:sz w:val="28"/>
          <w:szCs w:val="28"/>
        </w:rPr>
        <w:t>контрольных</w:t>
      </w:r>
      <w:r w:rsidRPr="002C01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688" w:rsidRPr="002C015F" w:rsidRDefault="00AD2688" w:rsidP="00F17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ab/>
      </w:r>
      <w:r w:rsidR="00F316DB" w:rsidRPr="002C015F">
        <w:rPr>
          <w:rFonts w:ascii="Times New Roman" w:hAnsi="Times New Roman" w:cs="Times New Roman"/>
          <w:sz w:val="28"/>
          <w:szCs w:val="28"/>
        </w:rPr>
        <w:t xml:space="preserve">по </w:t>
      </w:r>
      <w:r w:rsidRPr="002C015F">
        <w:rPr>
          <w:rFonts w:ascii="Times New Roman" w:hAnsi="Times New Roman" w:cs="Times New Roman"/>
          <w:sz w:val="28"/>
          <w:szCs w:val="28"/>
        </w:rPr>
        <w:t>решению Народного Собрания (Парламента) Карачаево-Черкесской Республики –</w:t>
      </w:r>
      <w:r w:rsidR="00F17F78" w:rsidRPr="002C015F">
        <w:rPr>
          <w:rFonts w:ascii="Times New Roman" w:hAnsi="Times New Roman" w:cs="Times New Roman"/>
          <w:sz w:val="28"/>
          <w:szCs w:val="28"/>
        </w:rPr>
        <w:t xml:space="preserve"> 4</w:t>
      </w:r>
      <w:r w:rsidRPr="002C015F">
        <w:rPr>
          <w:rFonts w:ascii="Times New Roman" w:hAnsi="Times New Roman" w:cs="Times New Roman"/>
          <w:sz w:val="28"/>
          <w:szCs w:val="28"/>
        </w:rPr>
        <w:t>;</w:t>
      </w:r>
    </w:p>
    <w:p w:rsidR="00AD2688" w:rsidRPr="002C015F" w:rsidRDefault="00F316DB" w:rsidP="00F17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по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обращению Прокуратуры КЧР </w:t>
      </w:r>
      <w:r w:rsidRPr="002C015F">
        <w:rPr>
          <w:rFonts w:ascii="Times New Roman" w:hAnsi="Times New Roman" w:cs="Times New Roman"/>
          <w:sz w:val="28"/>
          <w:szCs w:val="28"/>
        </w:rPr>
        <w:t>–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1</w:t>
      </w:r>
      <w:r w:rsidRPr="002C015F">
        <w:rPr>
          <w:rFonts w:ascii="Times New Roman" w:hAnsi="Times New Roman" w:cs="Times New Roman"/>
          <w:sz w:val="28"/>
          <w:szCs w:val="28"/>
        </w:rPr>
        <w:t>;</w:t>
      </w:r>
    </w:p>
    <w:p w:rsidR="00F17F78" w:rsidRPr="002C015F" w:rsidRDefault="00F316DB" w:rsidP="00F17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по </w:t>
      </w:r>
      <w:r w:rsidR="00F17F78" w:rsidRPr="002C015F">
        <w:rPr>
          <w:rFonts w:ascii="Times New Roman" w:hAnsi="Times New Roman" w:cs="Times New Roman"/>
          <w:sz w:val="28"/>
          <w:szCs w:val="28"/>
        </w:rPr>
        <w:t xml:space="preserve">решению Коллегии контрольно-счетной палаты КЧР </w:t>
      </w:r>
      <w:r w:rsidRPr="002C015F">
        <w:rPr>
          <w:rFonts w:ascii="Times New Roman" w:hAnsi="Times New Roman" w:cs="Times New Roman"/>
          <w:sz w:val="28"/>
          <w:szCs w:val="28"/>
        </w:rPr>
        <w:t>–</w:t>
      </w:r>
      <w:r w:rsidR="00F17F78" w:rsidRPr="002C015F">
        <w:rPr>
          <w:rFonts w:ascii="Times New Roman" w:hAnsi="Times New Roman" w:cs="Times New Roman"/>
          <w:sz w:val="28"/>
          <w:szCs w:val="28"/>
        </w:rPr>
        <w:t xml:space="preserve"> 3</w:t>
      </w:r>
      <w:r w:rsidRPr="002C015F">
        <w:rPr>
          <w:rFonts w:ascii="Times New Roman" w:hAnsi="Times New Roman" w:cs="Times New Roman"/>
          <w:sz w:val="28"/>
          <w:szCs w:val="28"/>
        </w:rPr>
        <w:t>;</w:t>
      </w:r>
    </w:p>
    <w:p w:rsidR="00F316DB" w:rsidRPr="002C015F" w:rsidRDefault="00F316DB" w:rsidP="00B563D2">
      <w:pPr>
        <w:widowControl w:val="0"/>
        <w:spacing w:after="0" w:line="360" w:lineRule="auto"/>
        <w:jc w:val="both"/>
        <w:rPr>
          <w:rStyle w:val="FontStyle278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и</w:t>
      </w:r>
      <w:r w:rsidR="00221408" w:rsidRPr="002C015F">
        <w:rPr>
          <w:rStyle w:val="FontStyle278"/>
          <w:sz w:val="28"/>
          <w:szCs w:val="28"/>
        </w:rPr>
        <w:t xml:space="preserve"> экспертно-аналитических мероприятий:</w:t>
      </w:r>
    </w:p>
    <w:p w:rsidR="00AD2688" w:rsidRPr="002C015F" w:rsidRDefault="00221408" w:rsidP="002214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по решению Коллегии контрольно-счетной палаты КЧР – 5.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688" w:rsidRPr="002C015F">
        <w:rPr>
          <w:rFonts w:ascii="Times New Roman" w:hAnsi="Times New Roman" w:cs="Times New Roman"/>
          <w:sz w:val="28"/>
          <w:szCs w:val="28"/>
        </w:rPr>
        <w:tab/>
        <w:t xml:space="preserve"> (Перечень контрольных мероприятий, проведенных</w:t>
      </w:r>
      <w:r w:rsidR="00AD2688" w:rsidRPr="002C015F">
        <w:rPr>
          <w:rStyle w:val="FontStyle277"/>
          <w:sz w:val="28"/>
          <w:szCs w:val="28"/>
        </w:rPr>
        <w:t xml:space="preserve"> </w:t>
      </w:r>
      <w:r w:rsidR="00AD2688" w:rsidRPr="002C015F">
        <w:rPr>
          <w:rStyle w:val="FontStyle278"/>
          <w:sz w:val="28"/>
          <w:szCs w:val="28"/>
        </w:rPr>
        <w:t>Контрольно-счетной палатой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2C015F">
        <w:rPr>
          <w:rStyle w:val="FontStyle278"/>
          <w:sz w:val="28"/>
          <w:szCs w:val="28"/>
        </w:rPr>
        <w:t>Карачаево-Черкесской Республики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за</w:t>
      </w:r>
      <w:r w:rsidR="00F17F78" w:rsidRPr="002C015F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2C015F">
        <w:rPr>
          <w:rStyle w:val="FontStyle221"/>
          <w:b w:val="0"/>
          <w:bCs w:val="0"/>
          <w:sz w:val="28"/>
          <w:szCs w:val="28"/>
        </w:rPr>
        <w:t>201</w:t>
      </w:r>
      <w:r w:rsidR="00F17F78" w:rsidRPr="002C015F">
        <w:rPr>
          <w:rStyle w:val="FontStyle221"/>
          <w:b w:val="0"/>
          <w:bCs w:val="0"/>
          <w:sz w:val="28"/>
          <w:szCs w:val="28"/>
        </w:rPr>
        <w:t>9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год</w:t>
      </w:r>
      <w:r w:rsidR="00F17F78" w:rsidRPr="002C015F">
        <w:rPr>
          <w:rFonts w:ascii="Times New Roman" w:hAnsi="Times New Roman" w:cs="Times New Roman"/>
          <w:sz w:val="28"/>
          <w:szCs w:val="28"/>
        </w:rPr>
        <w:t>а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, – </w:t>
      </w:r>
      <w:r w:rsidR="00AD2688" w:rsidRPr="002C015F">
        <w:rPr>
          <w:rFonts w:ascii="Times New Roman" w:hAnsi="Times New Roman" w:cs="Times New Roman"/>
          <w:sz w:val="28"/>
          <w:szCs w:val="28"/>
        </w:rPr>
        <w:lastRenderedPageBreak/>
        <w:t>Приложение 1 к данному Отчету).</w:t>
      </w:r>
    </w:p>
    <w:p w:rsidR="00AD2688" w:rsidRPr="002C015F" w:rsidRDefault="00AD2688" w:rsidP="00F17F7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AD2688" w:rsidRPr="002C015F" w:rsidRDefault="00AD2688" w:rsidP="00F17F78">
      <w:pPr>
        <w:tabs>
          <w:tab w:val="left" w:pos="9072"/>
        </w:tabs>
        <w:spacing w:after="0" w:line="240" w:lineRule="auto"/>
        <w:jc w:val="center"/>
        <w:rPr>
          <w:rStyle w:val="FontStyle278"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2C015F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015F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</w:t>
      </w:r>
      <w:r w:rsidR="00927ECD"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квартал </w:t>
      </w: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927ECD"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  <w:r w:rsidR="00927ECD"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2C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C015F">
        <w:rPr>
          <w:rStyle w:val="FontStyle278"/>
          <w:b/>
          <w:bCs/>
          <w:i/>
          <w:iCs/>
          <w:sz w:val="28"/>
          <w:szCs w:val="28"/>
        </w:rPr>
        <w:t>приведены в следующей таблице:</w:t>
      </w:r>
    </w:p>
    <w:p w:rsidR="00AD2688" w:rsidRPr="002C015F" w:rsidRDefault="00AD2688" w:rsidP="00F17F78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96"/>
        <w:gridCol w:w="6855"/>
        <w:gridCol w:w="973"/>
        <w:gridCol w:w="1331"/>
      </w:tblGrid>
      <w:tr w:rsidR="00D863F3" w:rsidRPr="002C015F" w:rsidTr="00264174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2C015F" w:rsidRDefault="00D863F3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63F3" w:rsidRPr="002C015F" w:rsidRDefault="00D863F3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2C015F" w:rsidRDefault="00D863F3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2C015F" w:rsidRDefault="00D863F3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 * (за исключением экспертиз проектов законодательных и иных нормативных правовых актов)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(млн. руб./количество), из них: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750F3C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750F3C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750F3C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750F3C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5,257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сроки выполнения которых не наступили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264174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иные меры прокурорского реагирования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174" w:rsidRPr="002C015F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174" w:rsidRPr="002C015F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74" w:rsidRPr="002C015F" w:rsidRDefault="00264174" w:rsidP="00F17F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88" w:rsidRPr="002C015F" w:rsidRDefault="00AD2688" w:rsidP="00F17F78">
      <w:pPr>
        <w:pStyle w:val="Style4"/>
        <w:spacing w:line="360" w:lineRule="auto"/>
        <w:rPr>
          <w:rStyle w:val="FontStyle221"/>
          <w:sz w:val="28"/>
          <w:szCs w:val="28"/>
        </w:rPr>
      </w:pPr>
      <w:r w:rsidRPr="002C015F">
        <w:rPr>
          <w:rStyle w:val="FontStyle221"/>
          <w:sz w:val="28"/>
          <w:szCs w:val="28"/>
        </w:rPr>
        <w:t>2. Контрольно-ревизионная деятельность</w:t>
      </w:r>
    </w:p>
    <w:p w:rsidR="00AD2688" w:rsidRPr="002C015F" w:rsidRDefault="00AD2688" w:rsidP="00F17F78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>2.1. Объем средств, проверенных (охваченных) при проведении контрольных мероприятий за</w:t>
      </w:r>
      <w:r w:rsidR="006B51D7" w:rsidRPr="002C015F">
        <w:rPr>
          <w:rStyle w:val="FontStyle278"/>
          <w:sz w:val="28"/>
          <w:szCs w:val="28"/>
        </w:rPr>
        <w:t xml:space="preserve"> 1 квартал</w:t>
      </w:r>
      <w:r w:rsidRPr="002C015F">
        <w:rPr>
          <w:rStyle w:val="FontStyle278"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>201</w:t>
      </w:r>
      <w:r w:rsidR="006B51D7" w:rsidRPr="002C015F">
        <w:rPr>
          <w:rFonts w:ascii="Times New Roman" w:hAnsi="Times New Roman" w:cs="Times New Roman"/>
          <w:sz w:val="28"/>
          <w:szCs w:val="28"/>
        </w:rPr>
        <w:t>9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год</w:t>
      </w:r>
      <w:r w:rsidR="006B51D7" w:rsidRPr="002C015F">
        <w:rPr>
          <w:rStyle w:val="FontStyle278"/>
          <w:sz w:val="28"/>
          <w:szCs w:val="28"/>
        </w:rPr>
        <w:t>а</w:t>
      </w:r>
      <w:r w:rsidRPr="002C015F">
        <w:rPr>
          <w:rStyle w:val="FontStyle278"/>
          <w:sz w:val="28"/>
          <w:szCs w:val="28"/>
        </w:rPr>
        <w:t xml:space="preserve">,  </w:t>
      </w:r>
      <w:r w:rsidRPr="002C015F">
        <w:rPr>
          <w:rStyle w:val="a6"/>
          <w:rFonts w:ascii="Times New Roman" w:hAnsi="Times New Roman" w:cs="Times New Roman"/>
          <w:sz w:val="28"/>
          <w:szCs w:val="28"/>
        </w:rPr>
        <w:t xml:space="preserve">составил </w:t>
      </w:r>
      <w:r w:rsidR="00E82704" w:rsidRPr="002C015F">
        <w:rPr>
          <w:rFonts w:ascii="Times New Roman" w:hAnsi="Times New Roman" w:cs="Times New Roman"/>
          <w:sz w:val="28"/>
          <w:szCs w:val="28"/>
          <w:lang w:eastAsia="ru-RU"/>
        </w:rPr>
        <w:t>3593846,5</w:t>
      </w:r>
      <w:r w:rsidRPr="002C01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015F">
        <w:rPr>
          <w:rStyle w:val="FontStyle278"/>
          <w:sz w:val="28"/>
          <w:szCs w:val="28"/>
        </w:rPr>
        <w:t>тыс. рублей.</w:t>
      </w:r>
    </w:p>
    <w:p w:rsidR="00AD2688" w:rsidRPr="002C015F" w:rsidRDefault="00AD2688" w:rsidP="00F17F78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 (</w:t>
      </w:r>
      <w:r w:rsidRPr="002C015F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2C015F">
        <w:rPr>
          <w:rStyle w:val="FontStyle278"/>
          <w:sz w:val="28"/>
          <w:szCs w:val="28"/>
        </w:rPr>
        <w:t xml:space="preserve">средств), составила  </w:t>
      </w:r>
      <w:r w:rsidR="00407ED5" w:rsidRPr="002C015F">
        <w:rPr>
          <w:rFonts w:ascii="Times New Roman" w:hAnsi="Times New Roman" w:cs="Times New Roman"/>
          <w:sz w:val="28"/>
          <w:szCs w:val="28"/>
        </w:rPr>
        <w:t>10850,0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015F">
        <w:rPr>
          <w:rStyle w:val="FontStyle278"/>
          <w:sz w:val="28"/>
          <w:szCs w:val="28"/>
        </w:rPr>
        <w:t xml:space="preserve">тыс. рублей. </w:t>
      </w:r>
    </w:p>
    <w:p w:rsidR="00AD2688" w:rsidRPr="002C015F" w:rsidRDefault="00AD2688" w:rsidP="00F17F78">
      <w:pPr>
        <w:pStyle w:val="Style44"/>
        <w:spacing w:line="360" w:lineRule="auto"/>
        <w:ind w:firstLine="720"/>
        <w:rPr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Общий объем </w:t>
      </w:r>
      <w:r w:rsidRPr="002C015F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2C015F">
        <w:rPr>
          <w:rStyle w:val="FontStyle278"/>
          <w:sz w:val="28"/>
          <w:szCs w:val="28"/>
        </w:rPr>
        <w:t xml:space="preserve">средств составил </w:t>
      </w:r>
      <w:r w:rsidR="00407ED5" w:rsidRPr="002C015F">
        <w:rPr>
          <w:rStyle w:val="FontStyle278"/>
          <w:sz w:val="28"/>
          <w:szCs w:val="28"/>
        </w:rPr>
        <w:t>5</w:t>
      </w:r>
      <w:r w:rsidR="00407ED5" w:rsidRPr="002C015F">
        <w:rPr>
          <w:sz w:val="28"/>
          <w:szCs w:val="28"/>
        </w:rPr>
        <w:t>2</w:t>
      </w:r>
      <w:r w:rsidRPr="002C015F">
        <w:rPr>
          <w:sz w:val="28"/>
          <w:szCs w:val="28"/>
        </w:rPr>
        <w:t>57</w:t>
      </w:r>
      <w:r w:rsidR="00407ED5" w:rsidRPr="002C015F">
        <w:rPr>
          <w:rStyle w:val="FontStyle278"/>
          <w:sz w:val="28"/>
          <w:szCs w:val="28"/>
        </w:rPr>
        <w:t>,0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 xml:space="preserve">тыс. рублей.  </w:t>
      </w:r>
    </w:p>
    <w:p w:rsidR="00AD2688" w:rsidRPr="002C015F" w:rsidRDefault="00AD2688" w:rsidP="00F17F78">
      <w:pPr>
        <w:pStyle w:val="Style44"/>
        <w:spacing w:line="360" w:lineRule="auto"/>
        <w:ind w:firstLine="720"/>
        <w:rPr>
          <w:rStyle w:val="FontStyle278"/>
          <w:sz w:val="28"/>
          <w:szCs w:val="28"/>
        </w:rPr>
      </w:pPr>
      <w:r w:rsidRPr="002C015F">
        <w:rPr>
          <w:sz w:val="28"/>
          <w:szCs w:val="28"/>
        </w:rPr>
        <w:t xml:space="preserve">Всего в ходе осуществления внешнего государственного финансового контроля, </w:t>
      </w:r>
      <w:r w:rsidRPr="002C015F">
        <w:rPr>
          <w:rStyle w:val="FontStyle278"/>
          <w:sz w:val="28"/>
          <w:szCs w:val="28"/>
        </w:rPr>
        <w:t xml:space="preserve">с учетом </w:t>
      </w:r>
      <w:r w:rsidRPr="002C015F">
        <w:rPr>
          <w:sz w:val="28"/>
          <w:szCs w:val="28"/>
        </w:rPr>
        <w:t xml:space="preserve">неэффективного использования государственных </w:t>
      </w:r>
      <w:r w:rsidRPr="002C015F">
        <w:rPr>
          <w:rStyle w:val="FontStyle278"/>
          <w:sz w:val="28"/>
          <w:szCs w:val="28"/>
        </w:rPr>
        <w:t xml:space="preserve">средств, </w:t>
      </w:r>
      <w:r w:rsidRPr="002C015F">
        <w:rPr>
          <w:sz w:val="28"/>
          <w:szCs w:val="28"/>
        </w:rPr>
        <w:t xml:space="preserve">выявлено </w:t>
      </w:r>
      <w:r w:rsidR="005D31AF" w:rsidRPr="002C015F">
        <w:rPr>
          <w:sz w:val="28"/>
          <w:szCs w:val="28"/>
        </w:rPr>
        <w:t>59</w:t>
      </w:r>
      <w:r w:rsidRPr="002C015F">
        <w:rPr>
          <w:sz w:val="28"/>
          <w:szCs w:val="28"/>
        </w:rPr>
        <w:t xml:space="preserve"> фактов (единиц) нарушений,</w:t>
      </w:r>
      <w:r w:rsidRPr="002C015F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законодательства, составила </w:t>
      </w:r>
      <w:r w:rsidR="008F21A9" w:rsidRPr="002C015F">
        <w:rPr>
          <w:rStyle w:val="FontStyle278"/>
          <w:sz w:val="28"/>
          <w:szCs w:val="28"/>
        </w:rPr>
        <w:t>16107,0</w:t>
      </w:r>
      <w:r w:rsidRPr="002C015F">
        <w:rPr>
          <w:rStyle w:val="FontStyle278"/>
          <w:sz w:val="28"/>
          <w:szCs w:val="28"/>
        </w:rPr>
        <w:t xml:space="preserve"> тыс. рублей, что составляет </w:t>
      </w:r>
      <w:r w:rsidR="00FB76EC" w:rsidRPr="002C015F">
        <w:rPr>
          <w:rStyle w:val="FontStyle278"/>
          <w:sz w:val="28"/>
          <w:szCs w:val="28"/>
        </w:rPr>
        <w:t>0</w:t>
      </w:r>
      <w:r w:rsidRPr="002C015F">
        <w:rPr>
          <w:rStyle w:val="FontStyle278"/>
          <w:sz w:val="28"/>
          <w:szCs w:val="28"/>
        </w:rPr>
        <w:t>,5 % от общего объема средств, проверенных (охваченных) при проведении контрольных мероприятий.</w:t>
      </w:r>
    </w:p>
    <w:p w:rsidR="00AD2688" w:rsidRPr="002C015F" w:rsidRDefault="00AD2688" w:rsidP="00F17F78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2C015F">
        <w:rPr>
          <w:rStyle w:val="FontStyle221"/>
          <w:b w:val="0"/>
          <w:bCs w:val="0"/>
          <w:sz w:val="28"/>
          <w:szCs w:val="28"/>
        </w:rPr>
        <w:t>2.2.</w:t>
      </w:r>
      <w:r w:rsidRPr="002C015F">
        <w:rPr>
          <w:rStyle w:val="FontStyle221"/>
          <w:sz w:val="28"/>
          <w:szCs w:val="28"/>
        </w:rPr>
        <w:t xml:space="preserve"> </w:t>
      </w:r>
      <w:r w:rsidRPr="002C015F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2C015F">
        <w:rPr>
          <w:rStyle w:val="FontStyle221"/>
          <w:sz w:val="28"/>
          <w:szCs w:val="28"/>
        </w:rPr>
        <w:t xml:space="preserve">  </w:t>
      </w:r>
      <w:r w:rsidRPr="002C015F">
        <w:rPr>
          <w:rStyle w:val="FontStyle278"/>
          <w:sz w:val="28"/>
          <w:szCs w:val="28"/>
        </w:rPr>
        <w:t xml:space="preserve">за </w:t>
      </w:r>
      <w:r w:rsidR="00407ED5" w:rsidRPr="002C015F">
        <w:rPr>
          <w:rStyle w:val="FontStyle278"/>
          <w:sz w:val="28"/>
          <w:szCs w:val="28"/>
        </w:rPr>
        <w:t xml:space="preserve">1 квартал </w:t>
      </w:r>
      <w:r w:rsidRPr="002C015F">
        <w:rPr>
          <w:sz w:val="28"/>
          <w:szCs w:val="28"/>
        </w:rPr>
        <w:t>201</w:t>
      </w:r>
      <w:r w:rsidR="00407ED5" w:rsidRPr="002C015F">
        <w:rPr>
          <w:sz w:val="28"/>
          <w:szCs w:val="28"/>
        </w:rPr>
        <w:t>9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год</w:t>
      </w:r>
      <w:r w:rsidR="00407ED5" w:rsidRPr="002C015F">
        <w:rPr>
          <w:rStyle w:val="FontStyle278"/>
          <w:sz w:val="28"/>
          <w:szCs w:val="28"/>
        </w:rPr>
        <w:t>а</w:t>
      </w:r>
      <w:r w:rsidRPr="002C015F">
        <w:rPr>
          <w:rStyle w:val="FontStyle278"/>
          <w:sz w:val="28"/>
          <w:szCs w:val="28"/>
        </w:rPr>
        <w:t xml:space="preserve">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2C015F">
        <w:rPr>
          <w:rStyle w:val="FontStyle221"/>
          <w:sz w:val="28"/>
          <w:szCs w:val="28"/>
        </w:rPr>
        <w:t xml:space="preserve"> </w:t>
      </w:r>
      <w:r w:rsidRPr="002C015F">
        <w:rPr>
          <w:rStyle w:val="FontStyle221"/>
          <w:b w:val="0"/>
          <w:bCs w:val="0"/>
          <w:sz w:val="28"/>
          <w:szCs w:val="28"/>
        </w:rPr>
        <w:t xml:space="preserve">направлено </w:t>
      </w:r>
      <w:r w:rsidR="008F21A9" w:rsidRPr="002C015F">
        <w:rPr>
          <w:rStyle w:val="FontStyle221"/>
          <w:b w:val="0"/>
          <w:bCs w:val="0"/>
          <w:sz w:val="28"/>
          <w:szCs w:val="28"/>
        </w:rPr>
        <w:t>13</w:t>
      </w:r>
      <w:r w:rsidRPr="002C015F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8F21A9" w:rsidRPr="002C015F">
        <w:rPr>
          <w:rStyle w:val="FontStyle221"/>
          <w:b w:val="0"/>
          <w:bCs w:val="0"/>
          <w:sz w:val="28"/>
          <w:szCs w:val="28"/>
        </w:rPr>
        <w:t xml:space="preserve">й, </w:t>
      </w:r>
      <w:r w:rsidRPr="002C015F">
        <w:rPr>
          <w:rStyle w:val="FontStyle221"/>
          <w:b w:val="0"/>
          <w:bCs w:val="0"/>
          <w:sz w:val="28"/>
          <w:szCs w:val="28"/>
        </w:rPr>
        <w:t xml:space="preserve">реализовано в полном объеме </w:t>
      </w:r>
      <w:r w:rsidR="008F21A9" w:rsidRPr="002C015F">
        <w:rPr>
          <w:rStyle w:val="FontStyle221"/>
          <w:b w:val="0"/>
          <w:bCs w:val="0"/>
          <w:sz w:val="28"/>
          <w:szCs w:val="28"/>
        </w:rPr>
        <w:t>7</w:t>
      </w:r>
      <w:r w:rsidRPr="002C015F">
        <w:rPr>
          <w:rStyle w:val="FontStyle221"/>
          <w:b w:val="0"/>
          <w:bCs w:val="0"/>
          <w:sz w:val="28"/>
          <w:szCs w:val="28"/>
        </w:rPr>
        <w:t xml:space="preserve"> представлений</w:t>
      </w:r>
      <w:r w:rsidR="008F21A9" w:rsidRPr="002C015F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2C015F" w:rsidRDefault="00AD2688" w:rsidP="00F17F78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В результате выполнения представлений </w:t>
      </w:r>
      <w:r w:rsidRPr="002C015F">
        <w:rPr>
          <w:sz w:val="28"/>
          <w:szCs w:val="28"/>
        </w:rPr>
        <w:t xml:space="preserve">устранено выявленных нарушений на сумму </w:t>
      </w:r>
      <w:r w:rsidR="0054078D" w:rsidRPr="002C015F">
        <w:rPr>
          <w:sz w:val="28"/>
          <w:szCs w:val="28"/>
        </w:rPr>
        <w:t>17469</w:t>
      </w:r>
      <w:r w:rsidRPr="002C015F">
        <w:rPr>
          <w:sz w:val="28"/>
          <w:szCs w:val="28"/>
        </w:rPr>
        <w:t>,</w:t>
      </w:r>
      <w:r w:rsidR="0054078D" w:rsidRPr="002C015F">
        <w:rPr>
          <w:sz w:val="28"/>
          <w:szCs w:val="28"/>
        </w:rPr>
        <w:t xml:space="preserve">94 </w:t>
      </w:r>
      <w:r w:rsidRPr="002C015F">
        <w:rPr>
          <w:rStyle w:val="FontStyle278"/>
          <w:sz w:val="28"/>
          <w:szCs w:val="28"/>
        </w:rPr>
        <w:t>тыс. рублей</w:t>
      </w:r>
      <w:r w:rsidRPr="002C015F">
        <w:rPr>
          <w:sz w:val="28"/>
          <w:szCs w:val="28"/>
        </w:rPr>
        <w:t>, в том числе:</w:t>
      </w:r>
    </w:p>
    <w:p w:rsidR="00AD2688" w:rsidRPr="002C015F" w:rsidRDefault="00AD2688" w:rsidP="00F17F78">
      <w:pPr>
        <w:pStyle w:val="Style11"/>
        <w:spacing w:line="360" w:lineRule="auto"/>
        <w:ind w:firstLine="720"/>
        <w:rPr>
          <w:rStyle w:val="FontStyle278"/>
          <w:sz w:val="28"/>
          <w:szCs w:val="28"/>
        </w:rPr>
      </w:pPr>
      <w:r w:rsidRPr="002C015F">
        <w:rPr>
          <w:rStyle w:val="FontStyle278"/>
          <w:sz w:val="28"/>
          <w:szCs w:val="28"/>
        </w:rPr>
        <w:t xml:space="preserve">восстановлено в бюджет </w:t>
      </w:r>
      <w:r w:rsidR="008F21A9" w:rsidRPr="002C015F">
        <w:rPr>
          <w:sz w:val="28"/>
          <w:szCs w:val="28"/>
        </w:rPr>
        <w:t>60</w:t>
      </w:r>
      <w:r w:rsidR="0054078D" w:rsidRPr="002C015F">
        <w:rPr>
          <w:sz w:val="28"/>
          <w:szCs w:val="28"/>
        </w:rPr>
        <w:t>1</w:t>
      </w:r>
      <w:r w:rsidR="008F21A9" w:rsidRPr="002C015F">
        <w:rPr>
          <w:sz w:val="28"/>
          <w:szCs w:val="28"/>
        </w:rPr>
        <w:t>,</w:t>
      </w:r>
      <w:r w:rsidR="0054078D" w:rsidRPr="002C015F">
        <w:rPr>
          <w:sz w:val="28"/>
          <w:szCs w:val="28"/>
        </w:rPr>
        <w:t>93</w:t>
      </w:r>
      <w:r w:rsidR="008F21A9" w:rsidRPr="002C015F">
        <w:rPr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тыс. рублей.</w:t>
      </w:r>
    </w:p>
    <w:p w:rsidR="00AD2688" w:rsidRPr="002C015F" w:rsidRDefault="00AD2688" w:rsidP="00F17F78">
      <w:pPr>
        <w:pStyle w:val="Style4"/>
        <w:spacing w:line="360" w:lineRule="auto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2C015F">
        <w:rPr>
          <w:rStyle w:val="FontStyle221"/>
          <w:b w:val="0"/>
          <w:bCs w:val="0"/>
          <w:sz w:val="28"/>
          <w:szCs w:val="28"/>
        </w:rPr>
        <w:t>Неисполненные представления</w:t>
      </w:r>
      <w:r w:rsidRPr="002C015F">
        <w:rPr>
          <w:rStyle w:val="FontStyle278"/>
          <w:sz w:val="28"/>
          <w:szCs w:val="28"/>
        </w:rPr>
        <w:t xml:space="preserve"> </w:t>
      </w:r>
      <w:r w:rsidRPr="002C015F">
        <w:rPr>
          <w:rStyle w:val="FontStyle221"/>
          <w:b w:val="0"/>
          <w:bCs w:val="0"/>
          <w:sz w:val="28"/>
          <w:szCs w:val="28"/>
        </w:rPr>
        <w:t>находятся на контроле у аудиторов до принятия мер по устранению выявленных нарушений.</w:t>
      </w:r>
    </w:p>
    <w:p w:rsidR="00AD2688" w:rsidRPr="002C015F" w:rsidRDefault="00AD2688" w:rsidP="00F17F78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2C015F">
        <w:rPr>
          <w:rStyle w:val="FontStyle278"/>
          <w:sz w:val="28"/>
          <w:szCs w:val="28"/>
        </w:rPr>
        <w:t>За</w:t>
      </w:r>
      <w:r w:rsidR="008F21A9" w:rsidRPr="002C015F">
        <w:rPr>
          <w:rStyle w:val="FontStyle278"/>
          <w:sz w:val="28"/>
          <w:szCs w:val="28"/>
        </w:rPr>
        <w:t xml:space="preserve"> 1 квартал</w:t>
      </w:r>
      <w:r w:rsidRPr="002C015F">
        <w:rPr>
          <w:rStyle w:val="FontStyle278"/>
          <w:sz w:val="28"/>
          <w:szCs w:val="28"/>
        </w:rPr>
        <w:t xml:space="preserve"> </w:t>
      </w:r>
      <w:r w:rsidRPr="002C015F">
        <w:rPr>
          <w:sz w:val="28"/>
          <w:szCs w:val="28"/>
        </w:rPr>
        <w:t>201</w:t>
      </w:r>
      <w:r w:rsidR="008F21A9" w:rsidRPr="002C015F">
        <w:rPr>
          <w:sz w:val="28"/>
          <w:szCs w:val="28"/>
        </w:rPr>
        <w:t>9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год</w:t>
      </w:r>
      <w:r w:rsidR="008F21A9" w:rsidRPr="002C015F">
        <w:rPr>
          <w:rStyle w:val="FontStyle278"/>
          <w:sz w:val="28"/>
          <w:szCs w:val="28"/>
        </w:rPr>
        <w:t>а</w:t>
      </w:r>
      <w:r w:rsidRPr="002C015F">
        <w:rPr>
          <w:rStyle w:val="FontStyle278"/>
          <w:sz w:val="28"/>
          <w:szCs w:val="28"/>
        </w:rPr>
        <w:t xml:space="preserve"> по результатам проведенных контрольных мероприятий</w:t>
      </w:r>
      <w:r w:rsidR="00CC76EE" w:rsidRPr="002C015F">
        <w:rPr>
          <w:rStyle w:val="FontStyle278"/>
          <w:sz w:val="28"/>
          <w:szCs w:val="28"/>
        </w:rPr>
        <w:t xml:space="preserve"> </w:t>
      </w:r>
      <w:r w:rsidRPr="002C015F">
        <w:rPr>
          <w:sz w:val="28"/>
          <w:szCs w:val="28"/>
        </w:rPr>
        <w:t>привлечено к дисциплинарной ответственности 3 должностных лиц</w:t>
      </w:r>
      <w:r w:rsidR="00FB76EC" w:rsidRPr="002C015F">
        <w:rPr>
          <w:sz w:val="28"/>
          <w:szCs w:val="28"/>
        </w:rPr>
        <w:t>а</w:t>
      </w:r>
      <w:r w:rsidRPr="002C015F">
        <w:rPr>
          <w:sz w:val="28"/>
          <w:szCs w:val="28"/>
        </w:rPr>
        <w:t>.</w:t>
      </w:r>
    </w:p>
    <w:p w:rsidR="00AD2688" w:rsidRPr="002C015F" w:rsidRDefault="00AD2688" w:rsidP="00F17F78">
      <w:pPr>
        <w:pStyle w:val="Style11"/>
        <w:spacing w:line="360" w:lineRule="auto"/>
        <w:ind w:firstLine="703"/>
        <w:rPr>
          <w:sz w:val="28"/>
          <w:szCs w:val="28"/>
        </w:rPr>
      </w:pPr>
      <w:r w:rsidRPr="002C015F">
        <w:rPr>
          <w:sz w:val="28"/>
          <w:szCs w:val="28"/>
        </w:rPr>
        <w:t>2.3.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sz w:val="28"/>
          <w:szCs w:val="28"/>
        </w:rPr>
        <w:t>В органы государственной власти</w:t>
      </w:r>
      <w:r w:rsidRPr="002C015F">
        <w:rPr>
          <w:rStyle w:val="FontStyle278"/>
          <w:sz w:val="28"/>
          <w:szCs w:val="28"/>
        </w:rPr>
        <w:t xml:space="preserve"> по результатам контрольных мероприятий направлено </w:t>
      </w:r>
      <w:r w:rsidR="00510DF1" w:rsidRPr="002C015F">
        <w:rPr>
          <w:sz w:val="28"/>
          <w:szCs w:val="28"/>
        </w:rPr>
        <w:t>7</w:t>
      </w:r>
      <w:r w:rsidRPr="002C015F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AD2688" w:rsidRPr="002C015F" w:rsidRDefault="00AD2688" w:rsidP="00F17F78">
      <w:pPr>
        <w:pStyle w:val="Style4"/>
        <w:widowControl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C015F">
        <w:rPr>
          <w:sz w:val="28"/>
          <w:szCs w:val="28"/>
        </w:rPr>
        <w:t xml:space="preserve">       2.4. </w:t>
      </w:r>
      <w:r w:rsidRPr="002C015F">
        <w:rPr>
          <w:b/>
          <w:bCs/>
          <w:sz w:val="28"/>
          <w:szCs w:val="28"/>
        </w:rPr>
        <w:t xml:space="preserve">Аудит в сфере закупок. </w:t>
      </w:r>
      <w:r w:rsidRPr="002C015F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AD2688" w:rsidRPr="002C015F" w:rsidRDefault="00AD2688" w:rsidP="00F17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мероприятий, проведенных </w:t>
      </w:r>
      <w:r w:rsidR="001C2242" w:rsidRPr="002C015F">
        <w:rPr>
          <w:rFonts w:ascii="Times New Roman" w:hAnsi="Times New Roman" w:cs="Times New Roman"/>
          <w:sz w:val="28"/>
          <w:szCs w:val="28"/>
        </w:rPr>
        <w:t>в</w:t>
      </w: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  <w:r w:rsidR="00FB76EC" w:rsidRPr="002C015F">
        <w:rPr>
          <w:rFonts w:ascii="Times New Roman" w:hAnsi="Times New Roman" w:cs="Times New Roman"/>
          <w:bCs/>
          <w:sz w:val="28"/>
          <w:szCs w:val="28"/>
        </w:rPr>
        <w:t>перв</w:t>
      </w:r>
      <w:r w:rsidR="001C2242" w:rsidRPr="002C015F">
        <w:rPr>
          <w:rFonts w:ascii="Times New Roman" w:hAnsi="Times New Roman" w:cs="Times New Roman"/>
          <w:bCs/>
          <w:sz w:val="28"/>
          <w:szCs w:val="28"/>
        </w:rPr>
        <w:t>ом</w:t>
      </w:r>
      <w:r w:rsidR="00FB76EC" w:rsidRPr="002C015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1C2242" w:rsidRPr="002C015F">
        <w:rPr>
          <w:rFonts w:ascii="Times New Roman" w:hAnsi="Times New Roman" w:cs="Times New Roman"/>
          <w:bCs/>
          <w:sz w:val="28"/>
          <w:szCs w:val="28"/>
        </w:rPr>
        <w:t>е</w:t>
      </w:r>
      <w:r w:rsidR="00FB76EC" w:rsidRPr="002C015F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Pr="002C015F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B76EC" w:rsidRPr="002C015F">
        <w:rPr>
          <w:rFonts w:ascii="Times New Roman" w:hAnsi="Times New Roman" w:cs="Times New Roman"/>
          <w:sz w:val="28"/>
          <w:szCs w:val="28"/>
        </w:rPr>
        <w:t xml:space="preserve">4 </w:t>
      </w:r>
      <w:r w:rsidRPr="002C015F">
        <w:rPr>
          <w:rFonts w:ascii="Times New Roman" w:hAnsi="Times New Roman" w:cs="Times New Roman"/>
          <w:sz w:val="28"/>
          <w:szCs w:val="28"/>
        </w:rPr>
        <w:t>нарушени</w:t>
      </w:r>
      <w:r w:rsidR="00FB76EC" w:rsidRPr="002C015F">
        <w:rPr>
          <w:rFonts w:ascii="Times New Roman" w:hAnsi="Times New Roman" w:cs="Times New Roman"/>
          <w:sz w:val="28"/>
          <w:szCs w:val="28"/>
        </w:rPr>
        <w:t>я</w:t>
      </w:r>
      <w:r w:rsidRPr="002C015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том числе:</w:t>
      </w:r>
      <w:r w:rsidRPr="002C015F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</w:p>
    <w:p w:rsidR="00FB76EC" w:rsidRPr="002C015F" w:rsidRDefault="00FB76EC" w:rsidP="00F17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-</w:t>
      </w:r>
      <w:r w:rsidR="001C2242" w:rsidRPr="002C015F">
        <w:rPr>
          <w:rFonts w:ascii="Times New Roman" w:hAnsi="Times New Roman" w:cs="Times New Roman"/>
          <w:sz w:val="28"/>
          <w:szCs w:val="28"/>
        </w:rPr>
        <w:t xml:space="preserve"> в</w:t>
      </w:r>
      <w:r w:rsidRPr="002C015F">
        <w:rPr>
          <w:rFonts w:ascii="Times New Roman" w:hAnsi="Times New Roman" w:cs="Times New Roman"/>
          <w:sz w:val="28"/>
          <w:szCs w:val="28"/>
        </w:rPr>
        <w:t xml:space="preserve"> соответствии со статьей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п.9. ст.17 Федерального закона от 05.04.2013 № 44-ФЗ план закупок на 2017 год размещен в ЕИС 16.02.2017 года (с превышением сроков) в то время, как лимиты бюджетных обязательств были утверждены (доведены) 18.01.2017 года</w:t>
      </w:r>
    </w:p>
    <w:p w:rsidR="00FB76EC" w:rsidRPr="002C015F" w:rsidRDefault="00FB76EC" w:rsidP="00F17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-</w:t>
      </w:r>
      <w:r w:rsidR="001C2242" w:rsidRPr="002C015F">
        <w:rPr>
          <w:rFonts w:ascii="Times New Roman" w:hAnsi="Times New Roman" w:cs="Times New Roman"/>
          <w:sz w:val="28"/>
          <w:szCs w:val="28"/>
        </w:rPr>
        <w:t xml:space="preserve"> в</w:t>
      </w:r>
      <w:r w:rsidRPr="002C015F">
        <w:rPr>
          <w:rFonts w:ascii="Times New Roman" w:hAnsi="Times New Roman" w:cs="Times New Roman"/>
          <w:sz w:val="28"/>
          <w:szCs w:val="28"/>
        </w:rPr>
        <w:t xml:space="preserve"> соответствии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план-график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п.15. ст.21 Федерального закона от 05.04.2013 № 44-ФЗ план-график закупок на 2017 год размещен в ЕИС 17.02.2017 года (с нарушением сроков) в то время, как лимиты бюджетных обязательств были утверждены (доведены) 18.01.2017 года.</w:t>
      </w:r>
    </w:p>
    <w:p w:rsidR="00FB76EC" w:rsidRPr="002C015F" w:rsidRDefault="00FB76EC" w:rsidP="00F17F78">
      <w:pPr>
        <w:tabs>
          <w:tab w:val="left" w:pos="426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15F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2C015F"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 w:rsidR="001C2242" w:rsidRPr="002C015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2C015F">
        <w:rPr>
          <w:rFonts w:ascii="Times New Roman" w:hAnsi="Times New Roman" w:cs="Times New Roman"/>
          <w:sz w:val="28"/>
          <w:szCs w:val="28"/>
          <w:lang w:eastAsia="ru-RU"/>
        </w:rPr>
        <w:t>ри проверке  проверка по номерам извещений, на предмет размещения отчетности о выполнении государственных контрактов в 2016 году, результате которой установлено, что в нарушение части 9 статьи 94 Закона №44-ФЗ, Учреждением не сформированы отчеты о результатах исполнения контракта с содержанием информации о поставленном товаре, выполненной работе или об оказанной услуге по всем проведенным закупкам в 2016 году, а также не размещены в единой информационной системе (</w:t>
      </w:r>
      <w:hyperlink r:id="rId8" w:history="1">
        <w:r w:rsidRPr="002C015F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val="tt-RU" w:eastAsia="ru-RU"/>
          </w:rPr>
          <w:t>.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zakupki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C015F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C01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76EC" w:rsidRPr="002C015F" w:rsidRDefault="00FB76EC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-</w:t>
      </w:r>
      <w:r w:rsidR="001C2242" w:rsidRPr="002C015F">
        <w:rPr>
          <w:rFonts w:ascii="Times New Roman" w:hAnsi="Times New Roman" w:cs="Times New Roman"/>
          <w:sz w:val="28"/>
          <w:szCs w:val="28"/>
        </w:rPr>
        <w:t xml:space="preserve"> в</w:t>
      </w:r>
      <w:r w:rsidRPr="002C015F">
        <w:rPr>
          <w:rFonts w:ascii="Times New Roman" w:hAnsi="Times New Roman" w:cs="Times New Roman"/>
          <w:sz w:val="28"/>
          <w:szCs w:val="28"/>
        </w:rPr>
        <w:t xml:space="preserve"> нарушение п. 4 Требований к формированию и утверждению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в нарушение части 10 статьи 21 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C015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C015F">
        <w:rPr>
          <w:rFonts w:ascii="Times New Roman" w:hAnsi="Times New Roman" w:cs="Times New Roman"/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разработанный и утвержденный Министерством план-график закупок на 2017 год (в редакции от 17.04.2017 года) включает в себя объёмы закупок</w:t>
      </w:r>
      <w:r w:rsidR="001C2242" w:rsidRPr="002C015F">
        <w:rPr>
          <w:rFonts w:ascii="Times New Roman" w:hAnsi="Times New Roman" w:cs="Times New Roman"/>
          <w:sz w:val="28"/>
          <w:szCs w:val="28"/>
        </w:rPr>
        <w:t>,</w:t>
      </w:r>
      <w:r w:rsidRPr="002C015F">
        <w:rPr>
          <w:rFonts w:ascii="Times New Roman" w:hAnsi="Times New Roman" w:cs="Times New Roman"/>
          <w:sz w:val="28"/>
          <w:szCs w:val="28"/>
        </w:rPr>
        <w:t xml:space="preserve"> превышающие лимиты бюджетных ассигнований предусмотренных на 2017 год.</w:t>
      </w:r>
    </w:p>
    <w:p w:rsidR="001C2242" w:rsidRPr="002C015F" w:rsidRDefault="001C2242" w:rsidP="00F17F78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AD2688" w:rsidRPr="002C015F" w:rsidRDefault="00AD2688" w:rsidP="00F17F78">
      <w:pPr>
        <w:pStyle w:val="Style4"/>
        <w:spacing w:line="360" w:lineRule="auto"/>
        <w:rPr>
          <w:rStyle w:val="FontStyle221"/>
          <w:sz w:val="28"/>
          <w:szCs w:val="28"/>
        </w:rPr>
      </w:pPr>
      <w:r w:rsidRPr="002C015F">
        <w:rPr>
          <w:rStyle w:val="FontStyle221"/>
          <w:sz w:val="28"/>
          <w:szCs w:val="28"/>
        </w:rPr>
        <w:t>3. Экспертно-аналитическая деятельность</w:t>
      </w:r>
      <w:r w:rsidRPr="002C015F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AD2688" w:rsidRPr="002C015F" w:rsidRDefault="00AD2688" w:rsidP="00F17F78">
      <w:pPr>
        <w:pStyle w:val="Style4"/>
        <w:spacing w:line="360" w:lineRule="auto"/>
        <w:jc w:val="both"/>
        <w:rPr>
          <w:rStyle w:val="FontStyle221"/>
          <w:sz w:val="28"/>
          <w:szCs w:val="28"/>
        </w:rPr>
      </w:pPr>
    </w:p>
    <w:p w:rsidR="00AD2688" w:rsidRPr="002C015F" w:rsidRDefault="00AD2688" w:rsidP="00F17F78">
      <w:pPr>
        <w:pStyle w:val="Style11"/>
        <w:spacing w:line="360" w:lineRule="auto"/>
        <w:ind w:firstLine="709"/>
        <w:rPr>
          <w:sz w:val="28"/>
          <w:szCs w:val="28"/>
        </w:rPr>
      </w:pPr>
      <w:r w:rsidRPr="002C015F">
        <w:rPr>
          <w:sz w:val="28"/>
          <w:szCs w:val="28"/>
        </w:rPr>
        <w:t xml:space="preserve">3.1. </w:t>
      </w:r>
      <w:r w:rsidRPr="002C015F">
        <w:rPr>
          <w:rStyle w:val="FontStyle278"/>
          <w:sz w:val="28"/>
          <w:szCs w:val="28"/>
        </w:rPr>
        <w:t>За</w:t>
      </w:r>
      <w:r w:rsidR="003D5CAA" w:rsidRPr="002C015F">
        <w:rPr>
          <w:rStyle w:val="FontStyle278"/>
          <w:sz w:val="28"/>
          <w:szCs w:val="28"/>
        </w:rPr>
        <w:t xml:space="preserve"> 1 квартал</w:t>
      </w:r>
      <w:r w:rsidRPr="002C015F">
        <w:rPr>
          <w:rStyle w:val="FontStyle278"/>
          <w:sz w:val="28"/>
          <w:szCs w:val="28"/>
        </w:rPr>
        <w:t xml:space="preserve"> </w:t>
      </w:r>
      <w:r w:rsidRPr="002C015F">
        <w:rPr>
          <w:sz w:val="28"/>
          <w:szCs w:val="28"/>
        </w:rPr>
        <w:t>201</w:t>
      </w:r>
      <w:r w:rsidR="003D5CAA" w:rsidRPr="002C015F">
        <w:rPr>
          <w:sz w:val="28"/>
          <w:szCs w:val="28"/>
        </w:rPr>
        <w:t>9</w:t>
      </w:r>
      <w:r w:rsidRPr="002C015F">
        <w:rPr>
          <w:b/>
          <w:bCs/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год</w:t>
      </w:r>
      <w:r w:rsidR="003D5CAA" w:rsidRPr="002C015F">
        <w:rPr>
          <w:rStyle w:val="FontStyle278"/>
          <w:sz w:val="28"/>
          <w:szCs w:val="28"/>
        </w:rPr>
        <w:t>а</w:t>
      </w:r>
      <w:r w:rsidRPr="002C015F">
        <w:rPr>
          <w:rStyle w:val="FontStyle278"/>
          <w:sz w:val="28"/>
          <w:szCs w:val="28"/>
        </w:rPr>
        <w:t xml:space="preserve"> Контрольно-счетной палатой</w:t>
      </w:r>
      <w:r w:rsidRPr="002C015F">
        <w:rPr>
          <w:sz w:val="28"/>
          <w:szCs w:val="28"/>
        </w:rPr>
        <w:t xml:space="preserve"> </w:t>
      </w:r>
      <w:r w:rsidRPr="002C015F">
        <w:rPr>
          <w:rStyle w:val="FontStyle278"/>
          <w:sz w:val="28"/>
          <w:szCs w:val="28"/>
        </w:rPr>
        <w:t>Карачаево-Черкесской Республики</w:t>
      </w:r>
      <w:r w:rsidRPr="002C015F">
        <w:rPr>
          <w:sz w:val="28"/>
          <w:szCs w:val="28"/>
        </w:rPr>
        <w:t xml:space="preserve"> проведено </w:t>
      </w:r>
      <w:r w:rsidR="003D5CAA" w:rsidRPr="002C015F">
        <w:rPr>
          <w:sz w:val="28"/>
          <w:szCs w:val="28"/>
        </w:rPr>
        <w:t>5</w:t>
      </w:r>
      <w:r w:rsidRPr="002C015F">
        <w:rPr>
          <w:sz w:val="28"/>
          <w:szCs w:val="28"/>
        </w:rPr>
        <w:t xml:space="preserve"> экспертно-аналитических мероприятий, в том числе:</w:t>
      </w:r>
    </w:p>
    <w:p w:rsidR="00AD2688" w:rsidRPr="002C015F" w:rsidRDefault="00AD2688" w:rsidP="00F17F78">
      <w:pPr>
        <w:pStyle w:val="Style11"/>
        <w:spacing w:line="360" w:lineRule="auto"/>
        <w:ind w:firstLine="851"/>
        <w:rPr>
          <w:sz w:val="28"/>
          <w:szCs w:val="28"/>
        </w:rPr>
      </w:pPr>
      <w:r w:rsidRPr="002C015F">
        <w:rPr>
          <w:sz w:val="28"/>
          <w:szCs w:val="28"/>
        </w:rPr>
        <w:t xml:space="preserve">по проектам законов Карачаево-Черкесской Республики - </w:t>
      </w:r>
      <w:r w:rsidR="003D5CAA" w:rsidRPr="002C015F">
        <w:rPr>
          <w:sz w:val="28"/>
          <w:szCs w:val="28"/>
        </w:rPr>
        <w:t>5</w:t>
      </w:r>
      <w:r w:rsidRPr="002C015F">
        <w:rPr>
          <w:sz w:val="28"/>
          <w:szCs w:val="28"/>
        </w:rPr>
        <w:t>;</w:t>
      </w:r>
    </w:p>
    <w:p w:rsidR="00AD2688" w:rsidRPr="002C015F" w:rsidRDefault="00AD2688" w:rsidP="00F17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По результатам проведенных  экспертно-аналитических мероприятий подготовлено и направлено в органы государственной власти 5 заключений по проектам законов и иным нормативным правовым актам Карачаево-Черкесской Республики.</w:t>
      </w:r>
    </w:p>
    <w:p w:rsidR="00AD2688" w:rsidRPr="002C015F" w:rsidRDefault="00AD2688" w:rsidP="00F17F7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C015F">
        <w:rPr>
          <w:sz w:val="28"/>
          <w:szCs w:val="28"/>
        </w:rPr>
        <w:t>3.</w:t>
      </w:r>
      <w:r w:rsidR="003D5CAA" w:rsidRPr="002C015F">
        <w:rPr>
          <w:sz w:val="28"/>
          <w:szCs w:val="28"/>
        </w:rPr>
        <w:t>2</w:t>
      </w:r>
      <w:r w:rsidRPr="002C015F">
        <w:rPr>
          <w:sz w:val="28"/>
          <w:szCs w:val="28"/>
        </w:rPr>
        <w:t xml:space="preserve">. Объём средств, охваченных в ходе экспертно-аналитических мероприятий, составил  </w:t>
      </w:r>
      <w:r w:rsidR="003D5CAA" w:rsidRPr="002C015F">
        <w:rPr>
          <w:sz w:val="28"/>
          <w:szCs w:val="28"/>
        </w:rPr>
        <w:t xml:space="preserve">290974,5 </w:t>
      </w:r>
      <w:r w:rsidRPr="002C015F">
        <w:rPr>
          <w:sz w:val="28"/>
          <w:szCs w:val="28"/>
        </w:rPr>
        <w:t>тыс. рублей.</w:t>
      </w:r>
    </w:p>
    <w:p w:rsidR="00AD2688" w:rsidRPr="002C015F" w:rsidRDefault="00AD2688" w:rsidP="00F17F78">
      <w:pPr>
        <w:pStyle w:val="Style11"/>
        <w:spacing w:line="360" w:lineRule="auto"/>
        <w:ind w:firstLine="708"/>
        <w:rPr>
          <w:sz w:val="28"/>
          <w:szCs w:val="28"/>
        </w:rPr>
      </w:pPr>
      <w:r w:rsidRPr="002C015F">
        <w:rPr>
          <w:sz w:val="28"/>
          <w:szCs w:val="28"/>
        </w:rPr>
        <w:t xml:space="preserve"> (Перечень экспертно-аналитических материалов, проведенных направлением </w:t>
      </w:r>
      <w:r w:rsidR="003D5CAA" w:rsidRPr="002C015F">
        <w:rPr>
          <w:rStyle w:val="FontStyle278"/>
          <w:sz w:val="28"/>
          <w:szCs w:val="28"/>
        </w:rPr>
        <w:t xml:space="preserve">1 квартал </w:t>
      </w:r>
      <w:r w:rsidR="003D5CAA" w:rsidRPr="002C015F">
        <w:rPr>
          <w:sz w:val="28"/>
          <w:szCs w:val="28"/>
        </w:rPr>
        <w:t>2019</w:t>
      </w:r>
      <w:r w:rsidR="003D5CAA" w:rsidRPr="002C015F">
        <w:rPr>
          <w:b/>
          <w:bCs/>
          <w:sz w:val="28"/>
          <w:szCs w:val="28"/>
        </w:rPr>
        <w:t xml:space="preserve"> </w:t>
      </w:r>
      <w:r w:rsidR="003D5CAA" w:rsidRPr="002C015F">
        <w:rPr>
          <w:rStyle w:val="FontStyle278"/>
          <w:sz w:val="28"/>
          <w:szCs w:val="28"/>
        </w:rPr>
        <w:t xml:space="preserve">года </w:t>
      </w:r>
      <w:r w:rsidRPr="002C015F">
        <w:rPr>
          <w:sz w:val="28"/>
          <w:szCs w:val="28"/>
        </w:rPr>
        <w:t>- Приложение 2 к настоящему Отчету.)</w:t>
      </w:r>
    </w:p>
    <w:p w:rsidR="00AD2688" w:rsidRPr="002C015F" w:rsidRDefault="00AD2688" w:rsidP="00F17F78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AD2688" w:rsidRPr="002C015F" w:rsidRDefault="00AD2688" w:rsidP="00F17F78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C015F">
        <w:rPr>
          <w:b/>
          <w:bCs/>
          <w:sz w:val="28"/>
          <w:szCs w:val="28"/>
        </w:rPr>
        <w:t>4. Результаты мониторингов</w:t>
      </w:r>
    </w:p>
    <w:p w:rsidR="00F17F78" w:rsidRPr="002C015F" w:rsidRDefault="00F17F78" w:rsidP="00F17F78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1C2242" w:rsidRPr="002C015F" w:rsidRDefault="001C2242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В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</w:t>
      </w:r>
      <w:r w:rsidRPr="002C015F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AD2688" w:rsidRPr="002C015F">
        <w:rPr>
          <w:rFonts w:ascii="Times New Roman" w:hAnsi="Times New Roman" w:cs="Times New Roman"/>
          <w:sz w:val="28"/>
          <w:szCs w:val="28"/>
        </w:rPr>
        <w:t xml:space="preserve">, </w:t>
      </w:r>
      <w:r w:rsidRPr="002C015F">
        <w:rPr>
          <w:rFonts w:ascii="Times New Roman" w:hAnsi="Times New Roman" w:cs="Times New Roman"/>
          <w:sz w:val="28"/>
          <w:szCs w:val="28"/>
        </w:rPr>
        <w:t>со второго квартала будет проводиться мониторинг и контроль формирования и реализации по направлениям:</w:t>
      </w:r>
    </w:p>
    <w:p w:rsidR="0066028D" w:rsidRPr="002C015F" w:rsidRDefault="001C2242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  <w:r w:rsidR="0066028D" w:rsidRPr="002C015F">
        <w:rPr>
          <w:rFonts w:ascii="Times New Roman" w:hAnsi="Times New Roman" w:cs="Times New Roman"/>
          <w:sz w:val="28"/>
          <w:szCs w:val="28"/>
        </w:rPr>
        <w:t>Приоритетного проекта «Безопасные и качественные дороги» в Карачаево-Черкесской Республике;</w:t>
      </w:r>
    </w:p>
    <w:p w:rsidR="0066028D" w:rsidRPr="002C015F" w:rsidRDefault="0066028D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«Культура» в Карачаево-Черкесской Республике;</w:t>
      </w:r>
    </w:p>
    <w:p w:rsidR="0066028D" w:rsidRPr="002C015F" w:rsidRDefault="0066028D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«Цифровая экономика» в Карачаево-Черкесской Республике;</w:t>
      </w:r>
    </w:p>
    <w:p w:rsidR="0066028D" w:rsidRPr="002C015F" w:rsidRDefault="0066028D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Экология» в Карачаево-Черкесской Республике;</w:t>
      </w:r>
    </w:p>
    <w:p w:rsidR="0066028D" w:rsidRPr="002C015F" w:rsidRDefault="0066028D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«Здравоохранение» в Карачаево-Черкесской Республике;</w:t>
      </w:r>
    </w:p>
    <w:p w:rsidR="0024480A" w:rsidRPr="002C015F" w:rsidRDefault="0066028D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«Малое и среднее предпринимательство и поддержка индивидуальной предпринимательской инициативы» (МСП)</w:t>
      </w:r>
      <w:r w:rsidR="0024480A" w:rsidRPr="002C015F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Республике;</w:t>
      </w:r>
    </w:p>
    <w:p w:rsidR="0024480A" w:rsidRPr="002C015F" w:rsidRDefault="0024480A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="0066028D" w:rsidRPr="002C015F">
        <w:rPr>
          <w:rFonts w:ascii="Times New Roman" w:hAnsi="Times New Roman" w:cs="Times New Roman"/>
          <w:sz w:val="28"/>
          <w:szCs w:val="28"/>
        </w:rPr>
        <w:t>«Международная кооперация и экспорт»</w:t>
      </w:r>
      <w:r w:rsidRPr="002C015F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Республике;</w:t>
      </w:r>
    </w:p>
    <w:p w:rsidR="0024480A" w:rsidRPr="002C015F" w:rsidRDefault="0024480A" w:rsidP="00F17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Pr="002C015F">
        <w:rPr>
          <w:rFonts w:ascii="Times New Roman" w:hAnsi="Times New Roman" w:cs="Times New Roman"/>
          <w:bCs/>
          <w:sz w:val="28"/>
          <w:szCs w:val="28"/>
        </w:rPr>
        <w:t>«Образование»</w:t>
      </w:r>
      <w:r w:rsidRPr="002C015F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Республике;</w:t>
      </w:r>
    </w:p>
    <w:p w:rsidR="0024480A" w:rsidRPr="002C015F" w:rsidRDefault="0024480A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«Жилье и городская среда» в Карачаево-Черкесской Республике;</w:t>
      </w:r>
    </w:p>
    <w:p w:rsidR="0024480A" w:rsidRPr="002C015F" w:rsidRDefault="0024480A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Приоритетного проекта «Демография» в Карачаево-Черкесской Республике.</w:t>
      </w:r>
    </w:p>
    <w:p w:rsidR="00F17F78" w:rsidRPr="002C015F" w:rsidRDefault="00F17F78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F17F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5. Реализация Плана по противодействию коррупции</w:t>
      </w:r>
    </w:p>
    <w:p w:rsidR="00683263" w:rsidRPr="002C015F" w:rsidRDefault="00683263" w:rsidP="00F17F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CAA" w:rsidRPr="002C015F" w:rsidRDefault="003D5CAA" w:rsidP="00F17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1 квартал 2019 года. Предусмотренные мероприятия исполнены. 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2. В Контрольно-счетной палате Карачаево-Черкесской Республики за </w:t>
      </w:r>
      <w:r w:rsidR="00834A20" w:rsidRPr="002C015F">
        <w:rPr>
          <w:rFonts w:ascii="Times New Roman" w:hAnsi="Times New Roman" w:cs="Times New Roman"/>
          <w:sz w:val="28"/>
          <w:szCs w:val="28"/>
        </w:rPr>
        <w:t xml:space="preserve">1 квартал 2019 года </w:t>
      </w:r>
      <w:r w:rsidRPr="002C015F">
        <w:rPr>
          <w:rFonts w:ascii="Times New Roman" w:hAnsi="Times New Roman" w:cs="Times New Roman"/>
          <w:sz w:val="28"/>
          <w:szCs w:val="28"/>
        </w:rPr>
        <w:t>и сообщений на «телефон доверия» не поступало.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3. Проведена экспертиза, в том числе антикоррупционная, проектов </w:t>
      </w:r>
      <w:r w:rsidR="005D31AF" w:rsidRPr="002C015F">
        <w:rPr>
          <w:rFonts w:ascii="Times New Roman" w:hAnsi="Times New Roman" w:cs="Times New Roman"/>
          <w:sz w:val="28"/>
          <w:szCs w:val="28"/>
        </w:rPr>
        <w:t>5</w:t>
      </w:r>
      <w:r w:rsidRPr="002C015F">
        <w:rPr>
          <w:rFonts w:ascii="Times New Roman" w:hAnsi="Times New Roman" w:cs="Times New Roman"/>
          <w:sz w:val="28"/>
          <w:szCs w:val="28"/>
        </w:rPr>
        <w:t>-</w:t>
      </w:r>
      <w:r w:rsidR="005D31AF" w:rsidRPr="002C015F">
        <w:rPr>
          <w:rFonts w:ascii="Times New Roman" w:hAnsi="Times New Roman" w:cs="Times New Roman"/>
          <w:sz w:val="28"/>
          <w:szCs w:val="28"/>
        </w:rPr>
        <w:t>ти</w:t>
      </w:r>
      <w:r w:rsidRPr="002C015F">
        <w:rPr>
          <w:rFonts w:ascii="Times New Roman" w:hAnsi="Times New Roman" w:cs="Times New Roman"/>
          <w:sz w:val="28"/>
          <w:szCs w:val="28"/>
        </w:rPr>
        <w:t xml:space="preserve"> республиканских законов, поступивших в Контрольно-счетную палату КЧР из Народного Собрания (Парламента) КЧР.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4. Вся информация о размещении заказов «www.zakupki."</w:t>
      </w:r>
      <w:r w:rsidRPr="002C015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015F">
        <w:rPr>
          <w:rFonts w:ascii="Times New Roman" w:hAnsi="Times New Roman" w:cs="Times New Roman"/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5. Опубликована на официальном сайте «www.zakupki."</w:t>
      </w:r>
      <w:r w:rsidRPr="002C015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015F">
        <w:rPr>
          <w:rFonts w:ascii="Times New Roman" w:hAnsi="Times New Roman" w:cs="Times New Roman"/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6.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2C015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</w:p>
    <w:p w:rsidR="003D5CAA" w:rsidRPr="002C015F" w:rsidRDefault="003D5CAA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 По результатам деятельности аудиторских направлений за 2018 год проведены мониторинги оценки эффективности государственного финансового контроля по аудиторским направлениям, которые утверждены на заседани</w:t>
      </w:r>
      <w:r w:rsidR="00834A20" w:rsidRPr="002C015F">
        <w:rPr>
          <w:rFonts w:ascii="Times New Roman" w:hAnsi="Times New Roman" w:cs="Times New Roman"/>
          <w:sz w:val="28"/>
          <w:szCs w:val="28"/>
        </w:rPr>
        <w:t>и</w:t>
      </w:r>
      <w:r w:rsidRPr="002C015F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834A20" w:rsidRPr="002C015F">
        <w:rPr>
          <w:rFonts w:ascii="Times New Roman" w:hAnsi="Times New Roman" w:cs="Times New Roman"/>
          <w:sz w:val="28"/>
          <w:szCs w:val="28"/>
        </w:rPr>
        <w:t xml:space="preserve"> Контрольно-счетной палаты КЧР</w:t>
      </w:r>
      <w:r w:rsidRPr="002C015F">
        <w:rPr>
          <w:rFonts w:ascii="Times New Roman" w:hAnsi="Times New Roman" w:cs="Times New Roman"/>
          <w:sz w:val="28"/>
          <w:szCs w:val="28"/>
        </w:rPr>
        <w:t>.</w:t>
      </w:r>
    </w:p>
    <w:p w:rsidR="00CC76EE" w:rsidRPr="002C015F" w:rsidRDefault="00CC76EE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263" w:rsidRPr="002C015F" w:rsidRDefault="00683263" w:rsidP="00F17F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F17F78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2C015F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AD2688" w:rsidRPr="002C015F" w:rsidRDefault="00AD2688" w:rsidP="00F17F78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2C015F">
        <w:rPr>
          <w:rStyle w:val="FontStyle277"/>
          <w:sz w:val="28"/>
          <w:szCs w:val="28"/>
        </w:rPr>
        <w:t>федеральными органами надзора</w:t>
      </w:r>
    </w:p>
    <w:p w:rsidR="00AD2688" w:rsidRPr="002C015F" w:rsidRDefault="00AD2688" w:rsidP="00F17F78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</w:p>
    <w:p w:rsidR="00AD2688" w:rsidRPr="002C015F" w:rsidRDefault="005D31AF" w:rsidP="00F17F78">
      <w:pPr>
        <w:widowControl w:val="0"/>
        <w:spacing w:after="0" w:line="360" w:lineRule="auto"/>
        <w:ind w:firstLine="709"/>
        <w:jc w:val="both"/>
        <w:rPr>
          <w:rStyle w:val="FontStyle278"/>
          <w:sz w:val="28"/>
          <w:szCs w:val="28"/>
        </w:rPr>
      </w:pPr>
      <w:r w:rsidRPr="002C015F">
        <w:rPr>
          <w:rStyle w:val="FontStyle278"/>
          <w:b/>
          <w:bCs/>
          <w:sz w:val="28"/>
          <w:szCs w:val="28"/>
        </w:rPr>
        <w:t xml:space="preserve">  </w:t>
      </w:r>
      <w:r w:rsidR="00AD2688" w:rsidRPr="002C015F">
        <w:rPr>
          <w:rStyle w:val="FontStyle278"/>
          <w:b/>
          <w:bCs/>
          <w:sz w:val="28"/>
          <w:szCs w:val="28"/>
        </w:rPr>
        <w:t xml:space="preserve"> В органы прокуратуры</w:t>
      </w:r>
      <w:r w:rsidR="00AD2688" w:rsidRPr="002C015F">
        <w:rPr>
          <w:rStyle w:val="FontStyle278"/>
          <w:sz w:val="28"/>
          <w:szCs w:val="28"/>
        </w:rPr>
        <w:t>, иные правоохранительные органы направлен</w:t>
      </w:r>
      <w:r w:rsidRPr="002C015F">
        <w:rPr>
          <w:rStyle w:val="FontStyle278"/>
          <w:sz w:val="28"/>
          <w:szCs w:val="28"/>
        </w:rPr>
        <w:t xml:space="preserve"> 1</w:t>
      </w:r>
      <w:r w:rsidR="00AD2688" w:rsidRPr="002C015F">
        <w:rPr>
          <w:rStyle w:val="FontStyle278"/>
          <w:sz w:val="28"/>
          <w:szCs w:val="28"/>
        </w:rPr>
        <w:t xml:space="preserve"> материал: </w:t>
      </w:r>
    </w:p>
    <w:p w:rsidR="00481176" w:rsidRPr="002C015F" w:rsidRDefault="00481176" w:rsidP="006832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1. Материалы </w:t>
      </w:r>
      <w:r w:rsidRPr="002C015F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 - в </w:t>
      </w:r>
      <w:r w:rsidRPr="002C015F">
        <w:rPr>
          <w:rFonts w:ascii="Times New Roman" w:hAnsi="Times New Roman" w:cs="Times New Roman"/>
          <w:sz w:val="28"/>
          <w:szCs w:val="28"/>
        </w:rPr>
        <w:t>УЭБ и ПК МВД КЧР</w:t>
      </w:r>
      <w:r w:rsidRPr="002C0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3263" w:rsidRPr="002C0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>Ответ будет по акту сверки за 1 квартал 2019 года.</w:t>
      </w:r>
    </w:p>
    <w:p w:rsidR="00AD2688" w:rsidRPr="002C015F" w:rsidRDefault="00AD2688" w:rsidP="00F17F78">
      <w:pPr>
        <w:pStyle w:val="Style183"/>
        <w:widowControl/>
        <w:spacing w:line="360" w:lineRule="auto"/>
        <w:jc w:val="both"/>
        <w:rPr>
          <w:sz w:val="28"/>
          <w:szCs w:val="28"/>
        </w:rPr>
      </w:pPr>
      <w:r w:rsidRPr="002C015F">
        <w:rPr>
          <w:rStyle w:val="FontStyle277"/>
          <w:b w:val="0"/>
          <w:bCs w:val="0"/>
          <w:sz w:val="28"/>
          <w:szCs w:val="28"/>
        </w:rPr>
        <w:t xml:space="preserve">         В</w:t>
      </w:r>
      <w:r w:rsidRPr="002C015F">
        <w:rPr>
          <w:b/>
          <w:bCs/>
          <w:sz w:val="28"/>
          <w:szCs w:val="28"/>
        </w:rPr>
        <w:t xml:space="preserve"> Управление Федеральной антимонопольной службы по Карачаево-Черкесской Республике </w:t>
      </w:r>
      <w:r w:rsidRPr="002C015F">
        <w:rPr>
          <w:sz w:val="28"/>
          <w:szCs w:val="28"/>
        </w:rPr>
        <w:t>материал</w:t>
      </w:r>
      <w:r w:rsidR="00481176" w:rsidRPr="002C015F">
        <w:rPr>
          <w:sz w:val="28"/>
          <w:szCs w:val="28"/>
        </w:rPr>
        <w:t>ы не направлялись.</w:t>
      </w:r>
    </w:p>
    <w:p w:rsidR="00AD2688" w:rsidRPr="002C015F" w:rsidRDefault="00AD2688" w:rsidP="00F17F78">
      <w:pPr>
        <w:pStyle w:val="Style11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C015F">
        <w:rPr>
          <w:b/>
          <w:bCs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80213C" w:rsidRPr="002C015F" w:rsidRDefault="0080213C" w:rsidP="00F17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7.1. Председателю отделения СКСО в СКФО, члену Президиума СКСО Колесникову А.А. направлен Лист согласования таблицы предлагаемых дополнительных изменений в Федеральный закон от 07.2.2011 года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80213C" w:rsidRPr="002C015F" w:rsidRDefault="0080213C" w:rsidP="00F17F78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7.2. Председателю отделения СКСО в СКФО, члену Президиума СКСО Колесникову А.А. направлена информация о перечне нормативно-правовых актов, регламентирующих вопросы оплаты труда работников Контрольно-счётной палаты КЧР, о принципе организационной и функциональной независимости Контрольно-счётной палаты КЧР, при нормативном закреплении системы оплаты труда и о наличии в системе оплаты труда дополнительных выплат работникам связанные с замещением должностей в Контрольно-счетной палате КЧР.</w:t>
      </w:r>
    </w:p>
    <w:p w:rsidR="0080213C" w:rsidRPr="002C015F" w:rsidRDefault="0080213C" w:rsidP="00F17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       7.3. Председателю отделения СКСО в СКФО, члену Президиума СКСО Колесникову А.А. направлен Лист согласования об избрании председателем комиссии Совета контрольно-счетных органов при Счетной палате Российской Федерации по вопросам методологии председател</w:t>
      </w:r>
      <w:bookmarkStart w:id="0" w:name="_GoBack"/>
      <w:bookmarkEnd w:id="0"/>
      <w:r w:rsidRPr="002C015F">
        <w:rPr>
          <w:rFonts w:ascii="Times New Roman" w:hAnsi="Times New Roman" w:cs="Times New Roman"/>
          <w:sz w:val="28"/>
          <w:szCs w:val="28"/>
        </w:rPr>
        <w:t>я Контрольно-счетной палаты Москвы Двуреченских Виктора Александровича.</w:t>
      </w:r>
    </w:p>
    <w:p w:rsidR="0080213C" w:rsidRPr="002C015F" w:rsidRDefault="0080213C" w:rsidP="00F17F78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7.4. Председателю отделения СКСО в СКФО, члену Президиума СКСО Колесникову А.А. направлена информация об основных показателях деятельности  </w:t>
      </w:r>
      <w:r w:rsidRPr="002C015F">
        <w:rPr>
          <w:rStyle w:val="FontStyle23"/>
          <w:b w:val="0"/>
          <w:sz w:val="28"/>
          <w:szCs w:val="28"/>
        </w:rPr>
        <w:t>Контрольно-счётной палаты</w:t>
      </w:r>
      <w:r w:rsidRPr="002C015F">
        <w:rPr>
          <w:rStyle w:val="FontStyle23"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>КЧР за 2017 год и сведения о подготовленной и отправленной информации, в соответствии с запросами СКСО РФ, Комиссий отделений СКСО РФ, Счётной палаты РФ за 4 квартал 2017 года.</w:t>
      </w:r>
    </w:p>
    <w:p w:rsidR="0080213C" w:rsidRPr="002C015F" w:rsidRDefault="0080213C" w:rsidP="00F17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7.5. Аудитору Счетной палаты Российской Федерации 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Pr="002C015F">
        <w:rPr>
          <w:rStyle w:val="FontStyle23"/>
          <w:sz w:val="28"/>
          <w:szCs w:val="28"/>
        </w:rPr>
        <w:t xml:space="preserve"> за </w:t>
      </w:r>
      <w:r w:rsidRPr="002C015F">
        <w:rPr>
          <w:rFonts w:ascii="Times New Roman" w:hAnsi="Times New Roman" w:cs="Times New Roman"/>
          <w:sz w:val="28"/>
          <w:szCs w:val="28"/>
        </w:rPr>
        <w:t>2018 год, в рамках которых проводился  аудит в сфере закупок  в соответствии с законодательством о контрактной системе и законодательством о закупках товаров, работ, услуг отдельными видами юридических лиц.</w:t>
      </w:r>
    </w:p>
    <w:p w:rsidR="0080213C" w:rsidRPr="002C015F" w:rsidRDefault="0080213C" w:rsidP="00F17F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7.6. Председателю Комиссии Совета КСО РФ при Счётной палате по вопросам  профессионального развития сотрудников КСО РФ Агафонову В.А. направлена информация о реализации мероприятий по профессиональному развитию сотрудников Контрольно-счётной палаты КЧР и сотрудников контрольно – счетных органов муниципальных образований КЧР за 2018 год. </w:t>
      </w:r>
    </w:p>
    <w:p w:rsidR="0080213C" w:rsidRPr="002C015F" w:rsidRDefault="0080213C" w:rsidP="00F17F78">
      <w:pPr>
        <w:tabs>
          <w:tab w:val="left" w:pos="630"/>
        </w:tabs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015F">
        <w:rPr>
          <w:rFonts w:ascii="Times New Roman" w:hAnsi="Times New Roman" w:cs="Times New Roman"/>
          <w:sz w:val="28"/>
          <w:szCs w:val="28"/>
        </w:rPr>
        <w:t>7.</w:t>
      </w:r>
      <w:r w:rsidRPr="002C015F">
        <w:rPr>
          <w:rFonts w:ascii="Times New Roman" w:hAnsi="Times New Roman" w:cs="Times New Roman"/>
          <w:bCs/>
          <w:sz w:val="28"/>
          <w:szCs w:val="28"/>
        </w:rPr>
        <w:t>7.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направлена информация об основных показателях деятельности  КСП КЧР за 2018 год.</w:t>
      </w:r>
    </w:p>
    <w:p w:rsidR="0080213C" w:rsidRPr="002C015F" w:rsidRDefault="0080213C" w:rsidP="00F17F78">
      <w:pPr>
        <w:tabs>
          <w:tab w:val="left" w:pos="700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        7.8. Председателю отделения СКСО в СКФО, члену Президиума СКСО Колесникову А.А.  направлена информация: об основных показателях деятельности КСП КЧР за 4 квартал 2018 года; об участии представителей КСП КЧР в мероприятиях, проводимых Советом КСО РФ при СП РФ, Комиссиями и отделениями Совета КСО РФ при СП РФ, а также Счётной палатой РФ; о подготовленной и отправленной информации, в соответствии с запросами Совета КСО РФ при СП РФ.</w:t>
      </w:r>
    </w:p>
    <w:p w:rsidR="0080213C" w:rsidRPr="002C015F" w:rsidRDefault="0080213C" w:rsidP="00F17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7.9. Председателю Комиссии СКСО по правовым вопросам, Председателю КСП Новосибирской области  Е.А. Гончаровой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80213C" w:rsidRPr="002C015F" w:rsidRDefault="0080213C" w:rsidP="00F17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7.10. И.о Председателя Контрольно-счетной палаты Ставропольского края С.А. Горло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80213C" w:rsidRPr="002C015F" w:rsidRDefault="0080213C" w:rsidP="00F17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F17F7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683263" w:rsidRPr="002C015F" w:rsidRDefault="00683263" w:rsidP="00F17F7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8.1.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2018 год;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о реализации мероприятий по профессиональному развитию сотрудников;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8.2. Подготовлена сводная информация по профессиональному развитию сотрудников контрольно-счётных органов муниципальных образований и направлена Председателю Комиссии Совета КСО РФ при СП РФ по вопросам профессионального развития;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8.3.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2018 год. 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8.4. В целях подготовки информации в адрес Председателя Комиссии Совета КСО при Счётной палате РФ по совершенствованию внешнего финансового контроля на муниципальном уровне, руководителям КСО  КЧР направлен запрос о предоставлении информации о практике осуществления полномочий в сфере противодействия коррупции и практике применения стандартов внешнего муниципального финансового контроля в деятельности КСО муниципальных образований. </w:t>
      </w:r>
    </w:p>
    <w:p w:rsidR="00FE2384" w:rsidRPr="002C015F" w:rsidRDefault="00FE2384" w:rsidP="00F17F78">
      <w:pPr>
        <w:spacing w:after="0" w:line="360" w:lineRule="auto"/>
        <w:ind w:firstLine="709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8.5.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FE2384" w:rsidRPr="002C015F" w:rsidRDefault="00FE2384" w:rsidP="00F17F78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        8.6.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FE2384" w:rsidRPr="002C015F" w:rsidRDefault="00FE2384" w:rsidP="00FE2384">
      <w:pPr>
        <w:tabs>
          <w:tab w:val="left" w:pos="450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9310A3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3D19F7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2C015F" w:rsidRDefault="00AD2688" w:rsidP="003D19F7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    А.С. Боташев</w:t>
      </w:r>
    </w:p>
    <w:p w:rsidR="00AD2688" w:rsidRPr="002C015F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2C015F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2C015F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C" w:rsidRPr="002C015F" w:rsidRDefault="0080213C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2C015F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D2688" w:rsidRPr="002C015F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к Отчету о работе Контрольно-счетной палаты КЧР за</w:t>
      </w:r>
      <w:r w:rsidR="00B563D2"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1 кв.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563D2" w:rsidRPr="002C01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563D2" w:rsidRPr="002C01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688" w:rsidRPr="002C015F" w:rsidRDefault="00AD2688" w:rsidP="006E20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2C015F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3D2" w:rsidRPr="002C015F" w:rsidRDefault="00AD2688" w:rsidP="00B5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мероприятий, проведенных Контрольно-счетной палатой КЧР </w:t>
      </w:r>
      <w:r w:rsidR="00B563D2" w:rsidRPr="002C015F">
        <w:rPr>
          <w:rFonts w:ascii="Times New Roman" w:hAnsi="Times New Roman" w:cs="Times New Roman"/>
          <w:b/>
          <w:bCs/>
          <w:sz w:val="28"/>
          <w:szCs w:val="28"/>
        </w:rPr>
        <w:t>за 1 кв. 2019 года</w:t>
      </w:r>
    </w:p>
    <w:p w:rsidR="00AD2688" w:rsidRPr="002C015F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08B" w:rsidRPr="002C015F" w:rsidRDefault="00FD708B" w:rsidP="00CB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15F">
        <w:rPr>
          <w:rFonts w:ascii="Times New Roman" w:hAnsi="Times New Roman" w:cs="Times New Roman"/>
          <w:b/>
          <w:sz w:val="28"/>
          <w:szCs w:val="28"/>
        </w:rPr>
        <w:t>1.</w:t>
      </w: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Проверка </w:t>
      </w:r>
      <w:r w:rsidRPr="002C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b/>
          <w:sz w:val="28"/>
        </w:rPr>
        <w:t>законности и результативности (эффективности и экономности) 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образованию».</w:t>
      </w:r>
    </w:p>
    <w:p w:rsidR="00CB76AE" w:rsidRPr="002C015F" w:rsidRDefault="00CB76AE" w:rsidP="00CB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D708B" w:rsidRPr="002C015F" w:rsidRDefault="00FD708B" w:rsidP="00CB76AE">
      <w:pPr>
        <w:pStyle w:val="2"/>
        <w:ind w:left="0" w:firstLine="540"/>
        <w:jc w:val="both"/>
        <w:rPr>
          <w:sz w:val="28"/>
          <w:szCs w:val="28"/>
        </w:rPr>
      </w:pPr>
      <w:r w:rsidRPr="002C015F">
        <w:rPr>
          <w:sz w:val="28"/>
          <w:szCs w:val="28"/>
        </w:rPr>
        <w:t xml:space="preserve">По результатам проверки были направлены:   </w:t>
      </w:r>
    </w:p>
    <w:p w:rsidR="00FD708B" w:rsidRPr="002C015F" w:rsidRDefault="00FD708B" w:rsidP="00CB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1. Отчет в Народное Собрание (Парламент) Карачаево-Черкесской Республики.</w:t>
      </w:r>
    </w:p>
    <w:p w:rsidR="00FD708B" w:rsidRPr="002C015F" w:rsidRDefault="00FD708B" w:rsidP="00CB76AE">
      <w:pPr>
        <w:pStyle w:val="310"/>
        <w:spacing w:line="240" w:lineRule="auto"/>
        <w:rPr>
          <w:bCs/>
          <w:color w:val="auto"/>
        </w:rPr>
      </w:pPr>
      <w:r w:rsidRPr="002C015F">
        <w:rPr>
          <w:color w:val="auto"/>
        </w:rPr>
        <w:t>2. Представление директору</w:t>
      </w:r>
      <w:r w:rsidRPr="002C015F">
        <w:rPr>
          <w:rStyle w:val="apple-style-span"/>
          <w:color w:val="auto"/>
        </w:rPr>
        <w:t xml:space="preserve"> </w:t>
      </w:r>
      <w:r w:rsidRPr="002C015F">
        <w:rPr>
          <w:color w:val="auto"/>
        </w:rPr>
        <w:t xml:space="preserve">РГБУ </w:t>
      </w:r>
      <w:r w:rsidRPr="002C015F">
        <w:rPr>
          <w:bCs/>
          <w:color w:val="auto"/>
        </w:rPr>
        <w:t>«Учебно-методический центр по художественному образованию».</w:t>
      </w:r>
    </w:p>
    <w:p w:rsidR="00FD708B" w:rsidRPr="002C015F" w:rsidRDefault="00FD708B" w:rsidP="00CB76AE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3</w:t>
      </w:r>
      <w:r w:rsidRPr="002C015F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2C015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2C015F">
        <w:rPr>
          <w:rFonts w:ascii="Times New Roman" w:hAnsi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проверенным социальным учреждениям в </w:t>
      </w:r>
      <w:r w:rsidRPr="002C015F">
        <w:rPr>
          <w:rFonts w:ascii="Times New Roman" w:hAnsi="Times New Roman"/>
          <w:sz w:val="28"/>
          <w:szCs w:val="28"/>
          <w:lang w:val="en-US"/>
        </w:rPr>
        <w:t>I</w:t>
      </w:r>
      <w:r w:rsidRPr="002C015F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FD708B" w:rsidRPr="002C015F" w:rsidRDefault="00FD708B" w:rsidP="00CB76AE">
      <w:pPr>
        <w:pStyle w:val="2"/>
        <w:tabs>
          <w:tab w:val="left" w:pos="-180"/>
        </w:tabs>
        <w:ind w:left="0" w:firstLine="0"/>
        <w:jc w:val="both"/>
        <w:rPr>
          <w:sz w:val="28"/>
          <w:szCs w:val="28"/>
        </w:rPr>
      </w:pPr>
      <w:r w:rsidRPr="002C015F">
        <w:rPr>
          <w:sz w:val="28"/>
          <w:szCs w:val="28"/>
        </w:rPr>
        <w:tab/>
        <w:t xml:space="preserve"> </w:t>
      </w:r>
    </w:p>
    <w:p w:rsidR="00FD708B" w:rsidRPr="002C015F" w:rsidRDefault="00FD708B" w:rsidP="00CB76AE">
      <w:pPr>
        <w:pStyle w:val="2"/>
        <w:tabs>
          <w:tab w:val="left" w:pos="-180"/>
        </w:tabs>
        <w:ind w:left="0" w:firstLine="0"/>
        <w:rPr>
          <w:sz w:val="28"/>
          <w:szCs w:val="28"/>
        </w:rPr>
      </w:pPr>
      <w:r w:rsidRPr="002C015F">
        <w:rPr>
          <w:sz w:val="28"/>
          <w:szCs w:val="28"/>
        </w:rPr>
        <w:t xml:space="preserve">            Меры, принятые по результатам проверки</w:t>
      </w:r>
      <w:r w:rsidR="00CB76AE" w:rsidRPr="002C015F">
        <w:rPr>
          <w:sz w:val="28"/>
          <w:szCs w:val="28"/>
        </w:rPr>
        <w:t>:</w:t>
      </w:r>
    </w:p>
    <w:p w:rsidR="00FD708B" w:rsidRPr="002C015F" w:rsidRDefault="00FD708B" w:rsidP="00CB76AE">
      <w:pPr>
        <w:spacing w:after="0" w:line="240" w:lineRule="auto"/>
        <w:jc w:val="both"/>
        <w:rPr>
          <w:rStyle w:val="FontStyle221"/>
          <w:b w:val="0"/>
          <w:sz w:val="28"/>
          <w:szCs w:val="28"/>
        </w:rPr>
      </w:pPr>
      <w:r w:rsidRPr="002C015F">
        <w:rPr>
          <w:rStyle w:val="FontStyle221"/>
          <w:b w:val="0"/>
          <w:sz w:val="28"/>
          <w:szCs w:val="28"/>
        </w:rPr>
        <w:t xml:space="preserve">          Представление направленное, </w:t>
      </w:r>
      <w:r w:rsidRPr="002C015F">
        <w:rPr>
          <w:rFonts w:ascii="Times New Roman" w:hAnsi="Times New Roman" w:cs="Times New Roman"/>
          <w:sz w:val="28"/>
          <w:szCs w:val="28"/>
        </w:rPr>
        <w:t>директору</w:t>
      </w:r>
      <w:r w:rsidRPr="002C015F">
        <w:rPr>
          <w:rStyle w:val="apple-style-span"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 xml:space="preserve">РГБУ </w:t>
      </w:r>
      <w:r w:rsidRPr="002C015F">
        <w:rPr>
          <w:rFonts w:ascii="Times New Roman" w:hAnsi="Times New Roman" w:cs="Times New Roman"/>
          <w:bCs/>
          <w:sz w:val="28"/>
          <w:szCs w:val="28"/>
        </w:rPr>
        <w:t xml:space="preserve">«Учебно-методический центр по художественному образованию» </w:t>
      </w:r>
      <w:r w:rsidRPr="002C015F">
        <w:rPr>
          <w:rStyle w:val="FontStyle221"/>
          <w:b w:val="0"/>
          <w:sz w:val="28"/>
          <w:szCs w:val="28"/>
        </w:rPr>
        <w:t>исполнено. Представлены материалы об исполнении Представления в полном объеме.</w:t>
      </w:r>
    </w:p>
    <w:p w:rsidR="00FD708B" w:rsidRPr="002C015F" w:rsidRDefault="00FD708B" w:rsidP="00CB76AE">
      <w:pPr>
        <w:spacing w:after="0" w:line="240" w:lineRule="auto"/>
        <w:jc w:val="both"/>
        <w:rPr>
          <w:rStyle w:val="FontStyle221"/>
          <w:b w:val="0"/>
          <w:sz w:val="28"/>
          <w:szCs w:val="28"/>
        </w:rPr>
      </w:pPr>
      <w:r w:rsidRPr="002C015F">
        <w:rPr>
          <w:rStyle w:val="FontStyle221"/>
          <w:sz w:val="28"/>
          <w:szCs w:val="28"/>
        </w:rPr>
        <w:t xml:space="preserve"> </w:t>
      </w:r>
    </w:p>
    <w:p w:rsidR="00FD708B" w:rsidRPr="002C015F" w:rsidRDefault="00FD708B" w:rsidP="00CB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2C015F">
        <w:rPr>
          <w:rFonts w:ascii="Times New Roman" w:hAnsi="Times New Roman" w:cs="Times New Roman"/>
        </w:rPr>
        <w:t xml:space="preserve"> </w:t>
      </w:r>
      <w:r w:rsidR="00CB76AE" w:rsidRPr="002C015F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2C015F">
        <w:rPr>
          <w:rFonts w:ascii="Times New Roman" w:hAnsi="Times New Roman" w:cs="Times New Roman"/>
          <w:b/>
          <w:sz w:val="28"/>
          <w:szCs w:val="28"/>
        </w:rPr>
        <w:t>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</w:t>
      </w:r>
    </w:p>
    <w:p w:rsidR="00CB76AE" w:rsidRPr="002C015F" w:rsidRDefault="00CB76AE" w:rsidP="00CB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8B" w:rsidRPr="002C015F" w:rsidRDefault="00FD708B" w:rsidP="00CB76AE">
      <w:pPr>
        <w:pStyle w:val="2"/>
        <w:ind w:left="0" w:firstLine="0"/>
        <w:jc w:val="both"/>
        <w:rPr>
          <w:sz w:val="28"/>
          <w:szCs w:val="28"/>
        </w:rPr>
      </w:pPr>
      <w:bookmarkStart w:id="1" w:name="_Hlk519584232"/>
      <w:r w:rsidRPr="002C015F">
        <w:rPr>
          <w:sz w:val="28"/>
          <w:szCs w:val="28"/>
        </w:rPr>
        <w:t xml:space="preserve">        Рассмотрение материалов  проверки </w:t>
      </w:r>
      <w:bookmarkEnd w:id="1"/>
      <w:r w:rsidRPr="002C015F">
        <w:rPr>
          <w:sz w:val="28"/>
          <w:szCs w:val="28"/>
        </w:rPr>
        <w:t xml:space="preserve"> перешло на 2 квартал 2019 года.  </w:t>
      </w:r>
    </w:p>
    <w:p w:rsidR="00AD2688" w:rsidRPr="002C015F" w:rsidRDefault="00AD2688" w:rsidP="00CB76A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08B" w:rsidRPr="002C015F" w:rsidRDefault="00FD708B" w:rsidP="00CB76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3. Проверка законности и результативности (эффективности и экономности) использования бюджетных средств, выделенных в 2017-2018 годах </w:t>
      </w:r>
      <w:r w:rsidRPr="002C015F">
        <w:rPr>
          <w:rFonts w:ascii="Times New Roman" w:hAnsi="Times New Roman" w:cs="Times New Roman"/>
          <w:b/>
          <w:iCs/>
          <w:sz w:val="28"/>
          <w:szCs w:val="28"/>
        </w:rPr>
        <w:t>КЧРГБПОО «</w:t>
      </w:r>
      <w:hyperlink r:id="rId9" w:history="1">
        <w:r w:rsidRPr="002C015F">
          <w:rPr>
            <w:rFonts w:ascii="Times New Roman" w:hAnsi="Times New Roman" w:cs="Times New Roman"/>
            <w:b/>
            <w:iCs/>
            <w:sz w:val="28"/>
            <w:szCs w:val="28"/>
          </w:rPr>
          <w:t>Многопрофильный</w:t>
        </w:r>
      </w:hyperlink>
      <w:r w:rsidRPr="002C015F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технологический колледж» г.Черкесск.</w:t>
      </w:r>
    </w:p>
    <w:p w:rsidR="00CB76AE" w:rsidRPr="002C015F" w:rsidRDefault="00CB76AE" w:rsidP="00CB76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B76AE" w:rsidRPr="002C015F" w:rsidRDefault="00FD708B" w:rsidP="00CB76AE">
      <w:pPr>
        <w:pStyle w:val="2"/>
        <w:ind w:left="0" w:firstLine="540"/>
        <w:jc w:val="both"/>
        <w:rPr>
          <w:sz w:val="28"/>
          <w:szCs w:val="28"/>
        </w:rPr>
      </w:pPr>
      <w:r w:rsidRPr="002C015F">
        <w:rPr>
          <w:sz w:val="28"/>
          <w:szCs w:val="28"/>
        </w:rPr>
        <w:t xml:space="preserve">  </w:t>
      </w:r>
      <w:r w:rsidR="00CB76AE" w:rsidRPr="002C015F">
        <w:rPr>
          <w:sz w:val="28"/>
          <w:szCs w:val="28"/>
        </w:rPr>
        <w:t xml:space="preserve">По результатам проверки были направлены:   </w:t>
      </w:r>
    </w:p>
    <w:p w:rsidR="00FD708B" w:rsidRPr="002C015F" w:rsidRDefault="00FD708B" w:rsidP="00CB7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1. Отчет в Народное собрание Карачаево-Черкесской Республики.</w:t>
      </w:r>
    </w:p>
    <w:p w:rsidR="00FD708B" w:rsidRPr="002C015F" w:rsidRDefault="00FD708B" w:rsidP="00CB76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2.Представление в Министерство образования и науки КЧР.</w:t>
      </w:r>
    </w:p>
    <w:p w:rsidR="00FD708B" w:rsidRPr="002C015F" w:rsidRDefault="00FD708B" w:rsidP="00CB76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3.Представление в КЧРГБПОО «Многопрофильный технологический колледж».</w:t>
      </w:r>
    </w:p>
    <w:p w:rsidR="00CB76AE" w:rsidRPr="002C015F" w:rsidRDefault="00CB76AE" w:rsidP="00CB76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D708B" w:rsidRPr="002C015F" w:rsidRDefault="00FD708B" w:rsidP="00CB7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Срок исполнения Представлений 2 квартал 2019 исполнены в полном объеме.</w:t>
      </w:r>
    </w:p>
    <w:p w:rsidR="00CB76AE" w:rsidRPr="002C015F" w:rsidRDefault="00CB76AE" w:rsidP="00CB7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8B" w:rsidRPr="002C015F" w:rsidRDefault="00FD708B" w:rsidP="00CB76AE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4. Проверка законности, результативности (эффективности и экономности) использования республиканских бюджетных средств, выделенных в 2018 году Министерству строительства и ЖКХ КЧР на реализацию мероприятий подпрограммы "Развитие организационных, экономических и социальных основ в области физической культуры и спорта в Карачаево-Черкесской Республике" Государственной программы "Развитие физической культуры и спорта Карачаево-Черкесской Республики на 2017 - 2020 годы" </w:t>
      </w:r>
    </w:p>
    <w:p w:rsidR="002C015F" w:rsidRPr="002C015F" w:rsidRDefault="002C015F" w:rsidP="00CB76AE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8B" w:rsidRPr="002C015F" w:rsidRDefault="00FD708B" w:rsidP="00CB76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015F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FD708B" w:rsidRPr="002C015F" w:rsidRDefault="00FD708B" w:rsidP="00CB76A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</w:rPr>
        <w:tab/>
      </w:r>
      <w:r w:rsidRPr="002C015F">
        <w:rPr>
          <w:rFonts w:ascii="Times New Roman" w:hAnsi="Times New Roman"/>
          <w:sz w:val="28"/>
          <w:szCs w:val="28"/>
        </w:rPr>
        <w:t>Коллегией  КСП КЧР принято решение считать контрольное  мероприятие  завершенным, материалы сдать в текущий архив КСП КЧР.</w:t>
      </w:r>
    </w:p>
    <w:p w:rsidR="00FD708B" w:rsidRPr="002C015F" w:rsidRDefault="00FD708B" w:rsidP="00CB76A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340D" w:rsidRPr="002C015F" w:rsidRDefault="003D340D" w:rsidP="00CB76AE">
      <w:pPr>
        <w:pStyle w:val="a9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ar-SA"/>
        </w:rPr>
      </w:pPr>
      <w:r w:rsidRPr="002C015F">
        <w:rPr>
          <w:rFonts w:ascii="Times New Roman" w:hAnsi="Times New Roman"/>
          <w:b/>
          <w:sz w:val="28"/>
          <w:szCs w:val="28"/>
        </w:rPr>
        <w:t>5. Проверка</w:t>
      </w:r>
      <w:r w:rsidRPr="002C015F">
        <w:rPr>
          <w:rFonts w:ascii="Times New Roman" w:hAnsi="Times New Roman"/>
          <w:b/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казенному общеобразовательному учреждению «Специальная (коррекционная) общеобразовательная школа-интернат 1 вида».</w:t>
      </w:r>
    </w:p>
    <w:p w:rsidR="003D340D" w:rsidRPr="002C015F" w:rsidRDefault="003D340D" w:rsidP="00CB76AE">
      <w:pPr>
        <w:pStyle w:val="a9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40D" w:rsidRPr="002C015F" w:rsidRDefault="003D340D" w:rsidP="002C015F">
      <w:pPr>
        <w:pStyle w:val="2"/>
        <w:ind w:left="0" w:firstLine="540"/>
        <w:rPr>
          <w:sz w:val="28"/>
          <w:szCs w:val="28"/>
        </w:rPr>
      </w:pPr>
      <w:bookmarkStart w:id="2" w:name="_Hlk503805375"/>
      <w:r w:rsidRPr="002C015F">
        <w:rPr>
          <w:sz w:val="28"/>
          <w:szCs w:val="28"/>
        </w:rPr>
        <w:t>По результатам проверки были направлены:</w:t>
      </w:r>
    </w:p>
    <w:p w:rsidR="003D340D" w:rsidRPr="002C015F" w:rsidRDefault="003D340D" w:rsidP="002C015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 xml:space="preserve"> Отчет в Народное Собрание (Парламент) Карачаево-Черкесской Республики</w:t>
      </w:r>
      <w:r w:rsidR="002C015F" w:rsidRPr="002C015F">
        <w:rPr>
          <w:rFonts w:ascii="Times New Roman" w:hAnsi="Times New Roman"/>
          <w:sz w:val="28"/>
          <w:szCs w:val="28"/>
        </w:rPr>
        <w:t>.</w:t>
      </w:r>
    </w:p>
    <w:p w:rsidR="003D340D" w:rsidRPr="002C015F" w:rsidRDefault="003D340D" w:rsidP="002C015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 xml:space="preserve"> Представление в Министерство образования и науки Карачаево-Черкесской Республики</w:t>
      </w:r>
      <w:r w:rsidR="002C015F" w:rsidRPr="002C015F">
        <w:rPr>
          <w:rFonts w:ascii="Times New Roman" w:hAnsi="Times New Roman"/>
          <w:sz w:val="28"/>
          <w:szCs w:val="28"/>
        </w:rPr>
        <w:t>.</w:t>
      </w:r>
      <w:r w:rsidRPr="002C015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D340D" w:rsidRPr="002C015F" w:rsidRDefault="003D340D" w:rsidP="002C015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 xml:space="preserve"> Представление в </w:t>
      </w:r>
      <w:r w:rsidRPr="002C015F">
        <w:rPr>
          <w:rFonts w:ascii="Times New Roman" w:hAnsi="Times New Roman"/>
          <w:bCs/>
          <w:spacing w:val="-6"/>
          <w:sz w:val="28"/>
          <w:szCs w:val="28"/>
          <w:lang w:eastAsia="ar-SA"/>
        </w:rPr>
        <w:t>РГКОУ</w:t>
      </w:r>
      <w:r w:rsidRPr="002C015F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школа-интернат 1 вида». </w:t>
      </w:r>
    </w:p>
    <w:p w:rsidR="003D340D" w:rsidRPr="002C015F" w:rsidRDefault="003D340D" w:rsidP="002C015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>Информационное письмо Главе Карачаево-Черкесской Республики в составе общего письма по соблюдению кратности размера оплаты труда руководителя и основного персонала в 2016- 2017 годах.</w:t>
      </w:r>
    </w:p>
    <w:bookmarkEnd w:id="2"/>
    <w:p w:rsidR="003D340D" w:rsidRPr="002C015F" w:rsidRDefault="003D340D" w:rsidP="00CB76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340D" w:rsidRPr="002C015F" w:rsidRDefault="003D340D" w:rsidP="00CB76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495938070"/>
      <w:r w:rsidRPr="002C015F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bookmarkEnd w:id="3"/>
    <w:p w:rsidR="003D340D" w:rsidRPr="002C015F" w:rsidRDefault="003D340D" w:rsidP="00CB76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>Информация о принятых мерах, ожидается во втором квартале</w:t>
      </w:r>
      <w:r w:rsidR="00CB76AE" w:rsidRPr="002C015F">
        <w:rPr>
          <w:rFonts w:ascii="Times New Roman" w:hAnsi="Times New Roman"/>
          <w:sz w:val="28"/>
          <w:szCs w:val="28"/>
        </w:rPr>
        <w:t xml:space="preserve"> 2019 года.</w:t>
      </w:r>
    </w:p>
    <w:p w:rsidR="00FD708B" w:rsidRPr="002C015F" w:rsidRDefault="00FD708B" w:rsidP="00CB76A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340D" w:rsidRPr="002C015F" w:rsidRDefault="003D340D" w:rsidP="00CB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6. Проверка 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Республики». </w:t>
      </w: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15F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3D340D" w:rsidRPr="002C015F" w:rsidRDefault="003D340D" w:rsidP="002C015F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</w:t>
      </w:r>
      <w:r w:rsidR="00CB76AE" w:rsidRPr="002C015F">
        <w:rPr>
          <w:rFonts w:ascii="Times New Roman" w:hAnsi="Times New Roman" w:cs="Times New Roman"/>
          <w:sz w:val="28"/>
          <w:szCs w:val="28"/>
        </w:rPr>
        <w:t>.</w:t>
      </w:r>
    </w:p>
    <w:p w:rsidR="003D340D" w:rsidRPr="002C015F" w:rsidRDefault="003D340D" w:rsidP="002C015F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Отчет - Председателю Правительства Карачаево-Черкесской Республики</w:t>
      </w:r>
      <w:r w:rsidR="00CB76AE" w:rsidRPr="002C015F">
        <w:rPr>
          <w:rFonts w:ascii="Times New Roman" w:hAnsi="Times New Roman" w:cs="Times New Roman"/>
          <w:sz w:val="28"/>
          <w:szCs w:val="28"/>
        </w:rPr>
        <w:t>.</w:t>
      </w:r>
    </w:p>
    <w:p w:rsidR="003D340D" w:rsidRPr="002C015F" w:rsidRDefault="003D340D" w:rsidP="002C015F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Представление в Министерство труда и социальной защиты Карачаево-Черкесской Республики.</w:t>
      </w:r>
    </w:p>
    <w:p w:rsidR="003D340D" w:rsidRPr="002C015F" w:rsidRDefault="003D340D" w:rsidP="002C015F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Материалы проверки в УЭБ и ПК МВД КЧР.</w:t>
      </w: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Меры, принятые по результатам проверки.</w:t>
      </w:r>
    </w:p>
    <w:p w:rsidR="003D340D" w:rsidRPr="002C015F" w:rsidRDefault="003D340D" w:rsidP="00CB76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Представление не исполнено в части восстановления неправомерно использованных средств. Рассматривается вопрос о направлении Предписания.</w:t>
      </w:r>
    </w:p>
    <w:p w:rsidR="002C015F" w:rsidRPr="002C015F" w:rsidRDefault="002C015F" w:rsidP="00CB76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 xml:space="preserve">7.Проверка </w:t>
      </w:r>
      <w:r w:rsidRPr="002C015F">
        <w:rPr>
          <w:rFonts w:ascii="Times New Roman" w:hAnsi="Times New Roman" w:cs="Times New Roman"/>
          <w:b/>
          <w:bCs/>
          <w:sz w:val="28"/>
          <w:szCs w:val="28"/>
        </w:rPr>
        <w:t>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</w:t>
      </w:r>
    </w:p>
    <w:p w:rsidR="00CB76AE" w:rsidRPr="002C015F" w:rsidRDefault="00CB76AE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bCs/>
          <w:sz w:val="28"/>
          <w:szCs w:val="28"/>
        </w:rPr>
        <w:t>По результатам проверки были направлены:</w:t>
      </w:r>
    </w:p>
    <w:p w:rsidR="003D340D" w:rsidRPr="002C015F" w:rsidRDefault="003D340D" w:rsidP="002C015F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15F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Pr="002C015F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Карачаево-Черкесской Республики, курирующему </w:t>
      </w:r>
      <w:hyperlink r:id="rId10" w:tgtFrame="_blank" w:history="1">
        <w:r w:rsidRPr="002C015F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блок по вопросам культуры, спорта и молодежной политики</w:t>
        </w:r>
      </w:hyperlink>
      <w:r w:rsidRPr="002C015F">
        <w:rPr>
          <w:rFonts w:ascii="Times New Roman" w:hAnsi="Times New Roman" w:cs="Times New Roman"/>
          <w:sz w:val="28"/>
          <w:szCs w:val="28"/>
        </w:rPr>
        <w:t>.</w:t>
      </w:r>
    </w:p>
    <w:p w:rsidR="00CB76AE" w:rsidRPr="002C015F" w:rsidRDefault="00CB76AE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3D340D" w:rsidRPr="002C015F" w:rsidRDefault="003D340D" w:rsidP="00CB76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1. Материалы проверки </w:t>
      </w:r>
      <w:r w:rsidR="002C015F" w:rsidRPr="002C015F">
        <w:rPr>
          <w:rFonts w:ascii="Times New Roman" w:hAnsi="Times New Roman" w:cs="Times New Roman"/>
          <w:sz w:val="28"/>
          <w:szCs w:val="28"/>
        </w:rPr>
        <w:t xml:space="preserve"> по решению Коллегии направлены </w:t>
      </w:r>
      <w:r w:rsidRPr="002C015F">
        <w:rPr>
          <w:rFonts w:ascii="Times New Roman" w:hAnsi="Times New Roman" w:cs="Times New Roman"/>
          <w:sz w:val="28"/>
          <w:szCs w:val="28"/>
        </w:rPr>
        <w:t>в текущий архив КСП КЧР.</w:t>
      </w:r>
    </w:p>
    <w:p w:rsidR="002C015F" w:rsidRPr="002C015F" w:rsidRDefault="002C015F" w:rsidP="00CB76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C015F">
        <w:rPr>
          <w:rFonts w:ascii="Times New Roman" w:hAnsi="Times New Roman"/>
          <w:b/>
          <w:spacing w:val="-10"/>
          <w:sz w:val="28"/>
          <w:szCs w:val="28"/>
        </w:rPr>
        <w:t>8.</w:t>
      </w:r>
      <w:r w:rsidR="002C015F" w:rsidRPr="002C015F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C015F">
        <w:rPr>
          <w:rFonts w:ascii="Times New Roman" w:hAnsi="Times New Roman"/>
          <w:b/>
          <w:spacing w:val="-10"/>
          <w:sz w:val="28"/>
          <w:szCs w:val="28"/>
        </w:rPr>
        <w:t>«</w:t>
      </w:r>
      <w:r w:rsidRPr="002C015F">
        <w:rPr>
          <w:rFonts w:ascii="Times New Roman" w:hAnsi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в 2018 году Министерству физической культуры и спорта Карачаево-Черкесской Республики на реализацию Государственной программы «Развитие физической культуры и спорта Карачаево-Черкесской Республики на 2017-2020 годы».</w:t>
      </w:r>
      <w:r w:rsidR="002C015F" w:rsidRPr="002C01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015F" w:rsidRPr="002C015F" w:rsidRDefault="002C015F" w:rsidP="00CB7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340D" w:rsidRPr="002C015F" w:rsidRDefault="003D340D" w:rsidP="00CB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15F">
        <w:rPr>
          <w:b/>
          <w:sz w:val="28"/>
          <w:szCs w:val="28"/>
        </w:rPr>
        <w:t xml:space="preserve">          </w:t>
      </w:r>
      <w:r w:rsidRPr="002C015F">
        <w:rPr>
          <w:rFonts w:ascii="Times New Roman" w:hAnsi="Times New Roman"/>
          <w:sz w:val="28"/>
          <w:szCs w:val="28"/>
        </w:rPr>
        <w:t>Рассмотрение результатов проверки перешло на 2 квартал 2019 года.</w:t>
      </w:r>
    </w:p>
    <w:p w:rsidR="00FD708B" w:rsidRPr="002C015F" w:rsidRDefault="00FD708B" w:rsidP="00FD708B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D2688" w:rsidRPr="002C015F" w:rsidRDefault="00AD2688" w:rsidP="00331BFB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2C015F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2C015F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</w:p>
    <w:p w:rsidR="00AD2688" w:rsidRPr="002C015F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AD2688" w:rsidRPr="002C015F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работе Контрольно-счетной палаты КЧР </w:t>
      </w:r>
      <w:r w:rsidR="00984434" w:rsidRPr="002C015F">
        <w:rPr>
          <w:rFonts w:ascii="Times New Roman" w:hAnsi="Times New Roman" w:cs="Times New Roman"/>
          <w:b/>
          <w:bCs/>
          <w:sz w:val="28"/>
          <w:szCs w:val="28"/>
        </w:rPr>
        <w:t>за 1 кв. 2019 года</w:t>
      </w:r>
    </w:p>
    <w:p w:rsidR="00AD2688" w:rsidRPr="002C015F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2C015F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2C015F" w:rsidRDefault="00AD2688" w:rsidP="00F777D6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2C015F" w:rsidRDefault="00AD2688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984434" w:rsidRPr="002C015F">
        <w:rPr>
          <w:rFonts w:ascii="Times New Roman" w:hAnsi="Times New Roman" w:cs="Times New Roman"/>
          <w:b/>
          <w:bCs/>
          <w:sz w:val="28"/>
          <w:szCs w:val="28"/>
        </w:rPr>
        <w:t>за 1 кв. 2019 года</w:t>
      </w:r>
    </w:p>
    <w:p w:rsidR="00AD2688" w:rsidRPr="002C015F" w:rsidRDefault="00AD2688" w:rsidP="00F777D6">
      <w:pPr>
        <w:widowControl w:val="0"/>
        <w:tabs>
          <w:tab w:val="left" w:pos="36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434" w:rsidRPr="002C015F" w:rsidRDefault="00984434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1.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100000,0 тыс. рублей (вход. от 10.12.2018 года №04/1767 исх. от 11.01.2019 г. № 6). Замечаний - 2.</w:t>
      </w:r>
    </w:p>
    <w:p w:rsidR="002C015F" w:rsidRPr="002C015F" w:rsidRDefault="002C015F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</w:p>
    <w:p w:rsidR="00984434" w:rsidRPr="002C015F" w:rsidRDefault="00984434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2. Заключение на проект закона Карачаево-Черкесской Республики №208-</w:t>
      </w:r>
      <w:r w:rsidRPr="002C01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015F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190974,5 тыс. рублей (вход. от 26.12.2018 года № 04/1889 исх. от 24.01.2019 г. № 29). Замечаний - 2.</w:t>
      </w:r>
    </w:p>
    <w:p w:rsidR="002C015F" w:rsidRPr="002C015F" w:rsidRDefault="002C015F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</w:p>
    <w:p w:rsidR="00984434" w:rsidRPr="002C015F" w:rsidRDefault="00984434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3. Заключение на проект закона Карачаево-Черкесской Республики №212-</w:t>
      </w:r>
      <w:r w:rsidRPr="002C01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015F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 Закона Карачаево-Черкесской Республики «Об утверждении методики распределения субвенций бюджетам муниципальных образований Карачаево-Черкесской Республики из республиканского бюджета, предоставляемых за счет субвенций Карачаево-Черкесской Республики из федерального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 (вход. от 27.02.2019 г. № 04/182 исх. от 12.03.2019 г. № 100). </w:t>
      </w:r>
    </w:p>
    <w:p w:rsidR="002C015F" w:rsidRPr="002C015F" w:rsidRDefault="002C015F" w:rsidP="002C015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</w:p>
    <w:p w:rsidR="00984434" w:rsidRPr="002C015F" w:rsidRDefault="00984434" w:rsidP="002C01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>4. Заключение на проект закона Карачаево-Черкесской Республики №215-</w:t>
      </w:r>
      <w:r w:rsidRPr="002C015F">
        <w:rPr>
          <w:rFonts w:ascii="Times New Roman" w:hAnsi="Times New Roman"/>
          <w:sz w:val="28"/>
          <w:szCs w:val="28"/>
          <w:lang w:val="en-US"/>
        </w:rPr>
        <w:t>V</w:t>
      </w:r>
      <w:r w:rsidRPr="002C015F">
        <w:rPr>
          <w:rFonts w:ascii="Times New Roman" w:hAnsi="Times New Roman"/>
          <w:sz w:val="28"/>
          <w:szCs w:val="28"/>
        </w:rPr>
        <w:t xml:space="preserve"> «О внесении изменения в статью 2 Закона Карачаево-Черкесской Республики «О транспортном налоге на территории Карачаево-Черкесской Республики» (вход. от 27.02.2019 г. № 04/199 исх. от 12.03.2019г. № 99). </w:t>
      </w:r>
    </w:p>
    <w:p w:rsidR="002C015F" w:rsidRPr="002C015F" w:rsidRDefault="002C015F" w:rsidP="002C01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4434" w:rsidRPr="002C015F" w:rsidRDefault="00984434" w:rsidP="002C01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015F">
        <w:rPr>
          <w:rFonts w:ascii="Times New Roman" w:hAnsi="Times New Roman"/>
          <w:sz w:val="28"/>
          <w:szCs w:val="28"/>
        </w:rPr>
        <w:t>5.Заключение на проект закона Карачаево-Черкесской Республики №227-</w:t>
      </w:r>
      <w:r w:rsidRPr="002C015F">
        <w:rPr>
          <w:rFonts w:ascii="Times New Roman" w:hAnsi="Times New Roman"/>
          <w:sz w:val="28"/>
          <w:szCs w:val="28"/>
          <w:lang w:val="en-US"/>
        </w:rPr>
        <w:t>V</w:t>
      </w:r>
      <w:r w:rsidRPr="002C015F">
        <w:rPr>
          <w:rFonts w:ascii="Times New Roman" w:hAnsi="Times New Roman"/>
          <w:sz w:val="28"/>
          <w:szCs w:val="28"/>
        </w:rPr>
        <w:t xml:space="preserve"> «О внесении изменения в статью 1 и4 Закона Карачаево-Черкесской Республики «О налоге на имущество организаций» (вход. от 25.03.2019 г. № 04/323 исх. от 27.03.2019 г. № 125). Замечаний - 2.</w:t>
      </w:r>
    </w:p>
    <w:p w:rsidR="002C015F" w:rsidRPr="002C015F" w:rsidRDefault="002C015F" w:rsidP="002C01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2688" w:rsidRPr="002C015F" w:rsidRDefault="00AD2688" w:rsidP="002C015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D2688" w:rsidRPr="002C015F" w:rsidRDefault="00AD2688" w:rsidP="002C01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AD2688" w:rsidRPr="002C015F" w:rsidRDefault="00AD2688" w:rsidP="002C01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015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А.С. Боташев</w:t>
      </w:r>
    </w:p>
    <w:p w:rsidR="00AD2688" w:rsidRPr="003639E5" w:rsidRDefault="00AD2688">
      <w:pPr>
        <w:rPr>
          <w:rFonts w:ascii="Times New Roman" w:hAnsi="Times New Roman" w:cs="Times New Roman"/>
        </w:rPr>
      </w:pPr>
    </w:p>
    <w:sectPr w:rsidR="00AD2688" w:rsidRPr="003639E5" w:rsidSect="006E2004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1F" w:rsidRDefault="0065201F" w:rsidP="00AF74C3">
      <w:pPr>
        <w:spacing w:after="0" w:line="240" w:lineRule="auto"/>
      </w:pPr>
      <w:r>
        <w:separator/>
      </w:r>
    </w:p>
  </w:endnote>
  <w:endnote w:type="continuationSeparator" w:id="0">
    <w:p w:rsidR="0065201F" w:rsidRDefault="0065201F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DB" w:rsidRDefault="00F316DB">
    <w:pPr>
      <w:pStyle w:val="af0"/>
      <w:jc w:val="right"/>
    </w:pPr>
    <w:fldSimple w:instr=" PAGE   \* MERGEFORMAT ">
      <w:r w:rsidR="0065201F">
        <w:rPr>
          <w:noProof/>
        </w:rPr>
        <w:t>1</w:t>
      </w:r>
    </w:fldSimple>
  </w:p>
  <w:p w:rsidR="00F316DB" w:rsidRDefault="00F316D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1F" w:rsidRDefault="0065201F" w:rsidP="00AF74C3">
      <w:pPr>
        <w:spacing w:after="0" w:line="240" w:lineRule="auto"/>
      </w:pPr>
      <w:r>
        <w:separator/>
      </w:r>
    </w:p>
  </w:footnote>
  <w:footnote w:type="continuationSeparator" w:id="0">
    <w:p w:rsidR="0065201F" w:rsidRDefault="0065201F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A27B4"/>
    <w:multiLevelType w:val="hybridMultilevel"/>
    <w:tmpl w:val="CE563728"/>
    <w:lvl w:ilvl="0" w:tplc="D0329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E71AD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694348"/>
    <w:multiLevelType w:val="hybridMultilevel"/>
    <w:tmpl w:val="9266E0CC"/>
    <w:lvl w:ilvl="0" w:tplc="F4CCC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2"/>
  </w:num>
  <w:num w:numId="19">
    <w:abstractNumId w:val="8"/>
  </w:num>
  <w:num w:numId="20">
    <w:abstractNumId w:val="2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2667B"/>
    <w:rsid w:val="00032A22"/>
    <w:rsid w:val="0003447B"/>
    <w:rsid w:val="000364FC"/>
    <w:rsid w:val="00040552"/>
    <w:rsid w:val="00043052"/>
    <w:rsid w:val="000505B9"/>
    <w:rsid w:val="00062D1B"/>
    <w:rsid w:val="000719E6"/>
    <w:rsid w:val="00072949"/>
    <w:rsid w:val="00086322"/>
    <w:rsid w:val="000A03DA"/>
    <w:rsid w:val="000B3A95"/>
    <w:rsid w:val="000F06B7"/>
    <w:rsid w:val="000F329D"/>
    <w:rsid w:val="000F39A3"/>
    <w:rsid w:val="000F74FD"/>
    <w:rsid w:val="00101036"/>
    <w:rsid w:val="00106A77"/>
    <w:rsid w:val="0013166A"/>
    <w:rsid w:val="0014509F"/>
    <w:rsid w:val="00145FC4"/>
    <w:rsid w:val="00153B1F"/>
    <w:rsid w:val="001566C5"/>
    <w:rsid w:val="00160968"/>
    <w:rsid w:val="001635B8"/>
    <w:rsid w:val="00165BD2"/>
    <w:rsid w:val="0016692D"/>
    <w:rsid w:val="0017369B"/>
    <w:rsid w:val="0019069C"/>
    <w:rsid w:val="00190E7F"/>
    <w:rsid w:val="00193180"/>
    <w:rsid w:val="00194405"/>
    <w:rsid w:val="001A7259"/>
    <w:rsid w:val="001A7AD3"/>
    <w:rsid w:val="001B50BD"/>
    <w:rsid w:val="001C2242"/>
    <w:rsid w:val="001C6365"/>
    <w:rsid w:val="001D5154"/>
    <w:rsid w:val="001E5815"/>
    <w:rsid w:val="001F38DF"/>
    <w:rsid w:val="00221408"/>
    <w:rsid w:val="00242890"/>
    <w:rsid w:val="0024480A"/>
    <w:rsid w:val="002564E2"/>
    <w:rsid w:val="002567F9"/>
    <w:rsid w:val="00260E8D"/>
    <w:rsid w:val="002612A7"/>
    <w:rsid w:val="00263534"/>
    <w:rsid w:val="00264174"/>
    <w:rsid w:val="002652E7"/>
    <w:rsid w:val="0027289E"/>
    <w:rsid w:val="002916E0"/>
    <w:rsid w:val="00295098"/>
    <w:rsid w:val="00295F4A"/>
    <w:rsid w:val="002A3B20"/>
    <w:rsid w:val="002A5010"/>
    <w:rsid w:val="002B0714"/>
    <w:rsid w:val="002B09EF"/>
    <w:rsid w:val="002B2647"/>
    <w:rsid w:val="002B43E4"/>
    <w:rsid w:val="002C015F"/>
    <w:rsid w:val="002C731A"/>
    <w:rsid w:val="002F2633"/>
    <w:rsid w:val="002F2E92"/>
    <w:rsid w:val="002F3E98"/>
    <w:rsid w:val="002F4F73"/>
    <w:rsid w:val="002F639F"/>
    <w:rsid w:val="00305538"/>
    <w:rsid w:val="00305C38"/>
    <w:rsid w:val="00320457"/>
    <w:rsid w:val="00322516"/>
    <w:rsid w:val="00323481"/>
    <w:rsid w:val="00331BFB"/>
    <w:rsid w:val="00336447"/>
    <w:rsid w:val="003506CF"/>
    <w:rsid w:val="0035264D"/>
    <w:rsid w:val="00363106"/>
    <w:rsid w:val="003639E5"/>
    <w:rsid w:val="0037629B"/>
    <w:rsid w:val="0038173E"/>
    <w:rsid w:val="00383D19"/>
    <w:rsid w:val="003A1F3A"/>
    <w:rsid w:val="003A5400"/>
    <w:rsid w:val="003B15E6"/>
    <w:rsid w:val="003C7627"/>
    <w:rsid w:val="003D19F7"/>
    <w:rsid w:val="003D340D"/>
    <w:rsid w:val="003D5CAA"/>
    <w:rsid w:val="003D74B0"/>
    <w:rsid w:val="003F256C"/>
    <w:rsid w:val="003F5A1C"/>
    <w:rsid w:val="00407ED5"/>
    <w:rsid w:val="00411E06"/>
    <w:rsid w:val="00415374"/>
    <w:rsid w:val="0042273E"/>
    <w:rsid w:val="00426F2D"/>
    <w:rsid w:val="004407EC"/>
    <w:rsid w:val="00474369"/>
    <w:rsid w:val="00481176"/>
    <w:rsid w:val="00493650"/>
    <w:rsid w:val="00497A9F"/>
    <w:rsid w:val="004A3BC1"/>
    <w:rsid w:val="004D1495"/>
    <w:rsid w:val="004D34D5"/>
    <w:rsid w:val="00502545"/>
    <w:rsid w:val="00510DF1"/>
    <w:rsid w:val="0054078D"/>
    <w:rsid w:val="00545387"/>
    <w:rsid w:val="00545F0D"/>
    <w:rsid w:val="00564934"/>
    <w:rsid w:val="0057522F"/>
    <w:rsid w:val="00580BB6"/>
    <w:rsid w:val="00582648"/>
    <w:rsid w:val="00590A99"/>
    <w:rsid w:val="005961B0"/>
    <w:rsid w:val="005B1D30"/>
    <w:rsid w:val="005B5435"/>
    <w:rsid w:val="005B7065"/>
    <w:rsid w:val="005D31AF"/>
    <w:rsid w:val="005E3D84"/>
    <w:rsid w:val="005F1F1C"/>
    <w:rsid w:val="005F70BA"/>
    <w:rsid w:val="0060533D"/>
    <w:rsid w:val="00612E21"/>
    <w:rsid w:val="006309FC"/>
    <w:rsid w:val="00636B18"/>
    <w:rsid w:val="00645B22"/>
    <w:rsid w:val="0065201F"/>
    <w:rsid w:val="00653E64"/>
    <w:rsid w:val="00655276"/>
    <w:rsid w:val="0066028D"/>
    <w:rsid w:val="006658AD"/>
    <w:rsid w:val="00681E7F"/>
    <w:rsid w:val="00683263"/>
    <w:rsid w:val="00685AD8"/>
    <w:rsid w:val="006A063E"/>
    <w:rsid w:val="006A2612"/>
    <w:rsid w:val="006A2673"/>
    <w:rsid w:val="006A32CF"/>
    <w:rsid w:val="006A70AD"/>
    <w:rsid w:val="006B51D7"/>
    <w:rsid w:val="006B52F5"/>
    <w:rsid w:val="006B6AC1"/>
    <w:rsid w:val="006C0F3A"/>
    <w:rsid w:val="006C5272"/>
    <w:rsid w:val="006C7B41"/>
    <w:rsid w:val="006C7CA4"/>
    <w:rsid w:val="006D3F0E"/>
    <w:rsid w:val="006D782B"/>
    <w:rsid w:val="006E2004"/>
    <w:rsid w:val="006F12D3"/>
    <w:rsid w:val="006F372D"/>
    <w:rsid w:val="00715A6B"/>
    <w:rsid w:val="00715E84"/>
    <w:rsid w:val="0071622C"/>
    <w:rsid w:val="00730947"/>
    <w:rsid w:val="00745E41"/>
    <w:rsid w:val="00746EA2"/>
    <w:rsid w:val="00750F3C"/>
    <w:rsid w:val="007603BB"/>
    <w:rsid w:val="0076338D"/>
    <w:rsid w:val="007813B8"/>
    <w:rsid w:val="007A4A36"/>
    <w:rsid w:val="007A6F13"/>
    <w:rsid w:val="007A78BE"/>
    <w:rsid w:val="007B2C8F"/>
    <w:rsid w:val="007C1FFD"/>
    <w:rsid w:val="007C25C3"/>
    <w:rsid w:val="007C3FC2"/>
    <w:rsid w:val="007C76AC"/>
    <w:rsid w:val="007D3C92"/>
    <w:rsid w:val="007E0A42"/>
    <w:rsid w:val="007F4B4B"/>
    <w:rsid w:val="0080213C"/>
    <w:rsid w:val="008026BD"/>
    <w:rsid w:val="00804582"/>
    <w:rsid w:val="008064CF"/>
    <w:rsid w:val="00812B91"/>
    <w:rsid w:val="00813136"/>
    <w:rsid w:val="00813784"/>
    <w:rsid w:val="0081619C"/>
    <w:rsid w:val="00834A20"/>
    <w:rsid w:val="00840E13"/>
    <w:rsid w:val="00844836"/>
    <w:rsid w:val="008512B8"/>
    <w:rsid w:val="008531E3"/>
    <w:rsid w:val="008815F4"/>
    <w:rsid w:val="00895A87"/>
    <w:rsid w:val="00895EF7"/>
    <w:rsid w:val="00896DE7"/>
    <w:rsid w:val="008A1BA7"/>
    <w:rsid w:val="008B1F45"/>
    <w:rsid w:val="008B3AD7"/>
    <w:rsid w:val="008C24E1"/>
    <w:rsid w:val="008C56A8"/>
    <w:rsid w:val="008E0129"/>
    <w:rsid w:val="008E76CE"/>
    <w:rsid w:val="008F0BA1"/>
    <w:rsid w:val="008F21A9"/>
    <w:rsid w:val="008F712A"/>
    <w:rsid w:val="0090565F"/>
    <w:rsid w:val="009126CE"/>
    <w:rsid w:val="00916658"/>
    <w:rsid w:val="00927ECD"/>
    <w:rsid w:val="009310A3"/>
    <w:rsid w:val="00943F3F"/>
    <w:rsid w:val="0095037E"/>
    <w:rsid w:val="0095115C"/>
    <w:rsid w:val="009512D9"/>
    <w:rsid w:val="00953F4E"/>
    <w:rsid w:val="0096312E"/>
    <w:rsid w:val="009655A3"/>
    <w:rsid w:val="00966EAA"/>
    <w:rsid w:val="0097421A"/>
    <w:rsid w:val="009749B3"/>
    <w:rsid w:val="00974C15"/>
    <w:rsid w:val="00977EBE"/>
    <w:rsid w:val="00984434"/>
    <w:rsid w:val="00984CC9"/>
    <w:rsid w:val="009A2476"/>
    <w:rsid w:val="009B43E5"/>
    <w:rsid w:val="009B605E"/>
    <w:rsid w:val="009C4A5F"/>
    <w:rsid w:val="009D033A"/>
    <w:rsid w:val="009F551D"/>
    <w:rsid w:val="00A05217"/>
    <w:rsid w:val="00A063BA"/>
    <w:rsid w:val="00A07781"/>
    <w:rsid w:val="00A57234"/>
    <w:rsid w:val="00A6125A"/>
    <w:rsid w:val="00A62A0B"/>
    <w:rsid w:val="00A63F69"/>
    <w:rsid w:val="00A66DFB"/>
    <w:rsid w:val="00A766CC"/>
    <w:rsid w:val="00A76F3C"/>
    <w:rsid w:val="00A77EE7"/>
    <w:rsid w:val="00A8411A"/>
    <w:rsid w:val="00A914B2"/>
    <w:rsid w:val="00A91EF3"/>
    <w:rsid w:val="00A94908"/>
    <w:rsid w:val="00AA26D6"/>
    <w:rsid w:val="00AA2C1D"/>
    <w:rsid w:val="00AA6E35"/>
    <w:rsid w:val="00AC0F01"/>
    <w:rsid w:val="00AC1D2E"/>
    <w:rsid w:val="00AC26B1"/>
    <w:rsid w:val="00AC2941"/>
    <w:rsid w:val="00AD2688"/>
    <w:rsid w:val="00AD54E3"/>
    <w:rsid w:val="00AE0933"/>
    <w:rsid w:val="00AE2484"/>
    <w:rsid w:val="00AF74C3"/>
    <w:rsid w:val="00AF7F7A"/>
    <w:rsid w:val="00B00786"/>
    <w:rsid w:val="00B423C6"/>
    <w:rsid w:val="00B45231"/>
    <w:rsid w:val="00B452C2"/>
    <w:rsid w:val="00B51471"/>
    <w:rsid w:val="00B53EDA"/>
    <w:rsid w:val="00B563D2"/>
    <w:rsid w:val="00B60B6F"/>
    <w:rsid w:val="00B7705A"/>
    <w:rsid w:val="00B97E6C"/>
    <w:rsid w:val="00BB1814"/>
    <w:rsid w:val="00BC0921"/>
    <w:rsid w:val="00BC5911"/>
    <w:rsid w:val="00BC62B7"/>
    <w:rsid w:val="00BE2CDE"/>
    <w:rsid w:val="00BE5C4E"/>
    <w:rsid w:val="00BE713B"/>
    <w:rsid w:val="00C01310"/>
    <w:rsid w:val="00C03A90"/>
    <w:rsid w:val="00C0786C"/>
    <w:rsid w:val="00C11EEC"/>
    <w:rsid w:val="00C32064"/>
    <w:rsid w:val="00C36DD6"/>
    <w:rsid w:val="00C546DA"/>
    <w:rsid w:val="00C635F9"/>
    <w:rsid w:val="00C6503A"/>
    <w:rsid w:val="00C7134A"/>
    <w:rsid w:val="00C82A68"/>
    <w:rsid w:val="00CA4AAD"/>
    <w:rsid w:val="00CB76AE"/>
    <w:rsid w:val="00CC76EE"/>
    <w:rsid w:val="00CD0B4F"/>
    <w:rsid w:val="00CD2CFA"/>
    <w:rsid w:val="00CD5295"/>
    <w:rsid w:val="00CD6491"/>
    <w:rsid w:val="00CE6ABB"/>
    <w:rsid w:val="00D065FD"/>
    <w:rsid w:val="00D179AE"/>
    <w:rsid w:val="00D23283"/>
    <w:rsid w:val="00D36745"/>
    <w:rsid w:val="00D42CFE"/>
    <w:rsid w:val="00D45F91"/>
    <w:rsid w:val="00D471DE"/>
    <w:rsid w:val="00D72FE5"/>
    <w:rsid w:val="00D732E4"/>
    <w:rsid w:val="00D7413F"/>
    <w:rsid w:val="00D75AB0"/>
    <w:rsid w:val="00D77682"/>
    <w:rsid w:val="00D863F3"/>
    <w:rsid w:val="00D92DE2"/>
    <w:rsid w:val="00D93405"/>
    <w:rsid w:val="00DC19E9"/>
    <w:rsid w:val="00DD4B1A"/>
    <w:rsid w:val="00DE20A2"/>
    <w:rsid w:val="00E033A6"/>
    <w:rsid w:val="00E079BA"/>
    <w:rsid w:val="00E12394"/>
    <w:rsid w:val="00E141A9"/>
    <w:rsid w:val="00E14284"/>
    <w:rsid w:val="00E20808"/>
    <w:rsid w:val="00E27D6B"/>
    <w:rsid w:val="00E321B1"/>
    <w:rsid w:val="00E33DEA"/>
    <w:rsid w:val="00E60E8D"/>
    <w:rsid w:val="00E6684E"/>
    <w:rsid w:val="00E82704"/>
    <w:rsid w:val="00E8459F"/>
    <w:rsid w:val="00E95486"/>
    <w:rsid w:val="00E955DB"/>
    <w:rsid w:val="00E964C1"/>
    <w:rsid w:val="00EA0251"/>
    <w:rsid w:val="00EA0760"/>
    <w:rsid w:val="00EA4019"/>
    <w:rsid w:val="00EB38F7"/>
    <w:rsid w:val="00EC2396"/>
    <w:rsid w:val="00EE5871"/>
    <w:rsid w:val="00EF2D9C"/>
    <w:rsid w:val="00EF5A02"/>
    <w:rsid w:val="00F04C34"/>
    <w:rsid w:val="00F125AB"/>
    <w:rsid w:val="00F13F29"/>
    <w:rsid w:val="00F161D7"/>
    <w:rsid w:val="00F166D4"/>
    <w:rsid w:val="00F17F78"/>
    <w:rsid w:val="00F316DB"/>
    <w:rsid w:val="00F35954"/>
    <w:rsid w:val="00F47C71"/>
    <w:rsid w:val="00F602FC"/>
    <w:rsid w:val="00F7015F"/>
    <w:rsid w:val="00F777D6"/>
    <w:rsid w:val="00F8682C"/>
    <w:rsid w:val="00FA2875"/>
    <w:rsid w:val="00FA33F3"/>
    <w:rsid w:val="00FA346F"/>
    <w:rsid w:val="00FA6D7A"/>
    <w:rsid w:val="00FB08BA"/>
    <w:rsid w:val="00FB14AC"/>
    <w:rsid w:val="00FB20B7"/>
    <w:rsid w:val="00FB3090"/>
    <w:rsid w:val="00FB76EC"/>
    <w:rsid w:val="00FC17B8"/>
    <w:rsid w:val="00FD1A3B"/>
    <w:rsid w:val="00FD29EB"/>
    <w:rsid w:val="00FD708B"/>
    <w:rsid w:val="00FE2384"/>
    <w:rsid w:val="00FE663B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8">
    <w:name w:val="Font Style278"/>
    <w:basedOn w:val="a0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Body Text"/>
    <w:basedOn w:val="a"/>
    <w:link w:val="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2612"/>
  </w:style>
  <w:style w:type="paragraph" w:customStyle="1" w:styleId="Style4">
    <w:name w:val="Style4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4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age number"/>
    <w:basedOn w:val="a0"/>
    <w:rsid w:val="006A2612"/>
  </w:style>
  <w:style w:type="character" w:customStyle="1" w:styleId="left">
    <w:name w:val="left"/>
    <w:basedOn w:val="a0"/>
    <w:uiPriority w:val="99"/>
    <w:rsid w:val="006A2612"/>
  </w:style>
  <w:style w:type="paragraph" w:styleId="a7">
    <w:name w:val="Body Text Indent"/>
    <w:basedOn w:val="a"/>
    <w:link w:val="a8"/>
    <w:uiPriority w:val="99"/>
    <w:semiHidden/>
    <w:rsid w:val="006A26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612"/>
  </w:style>
  <w:style w:type="paragraph" w:styleId="2">
    <w:name w:val="Body Text First Indent 2"/>
    <w:basedOn w:val="a7"/>
    <w:link w:val="20"/>
    <w:uiPriority w:val="99"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3C92"/>
    <w:pPr>
      <w:ind w:left="720"/>
    </w:pPr>
  </w:style>
  <w:style w:type="character" w:customStyle="1" w:styleId="10">
    <w:name w:val="Основной текст1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1">
    <w:name w:val="Основной текст2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aa">
    <w:name w:val="Strong"/>
    <w:basedOn w:val="a0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a0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a0"/>
    <w:uiPriority w:val="99"/>
    <w:rsid w:val="00D36745"/>
    <w:rPr>
      <w:b/>
      <w:bCs/>
      <w:i/>
      <w:iCs/>
      <w:sz w:val="27"/>
      <w:szCs w:val="27"/>
    </w:rPr>
  </w:style>
  <w:style w:type="paragraph" w:styleId="31">
    <w:name w:val="Body Text Indent 3"/>
    <w:basedOn w:val="a"/>
    <w:link w:val="32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2E7"/>
    <w:rPr>
      <w:sz w:val="16"/>
      <w:szCs w:val="16"/>
    </w:rPr>
  </w:style>
  <w:style w:type="paragraph" w:styleId="ab">
    <w:name w:val="Title"/>
    <w:aliases w:val="Знак7"/>
    <w:basedOn w:val="a"/>
    <w:link w:val="ac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7 Знак"/>
    <w:basedOn w:val="a0"/>
    <w:link w:val="ab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BE2CDE"/>
    <w:rPr>
      <w:rFonts w:cs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a0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F74C3"/>
  </w:style>
  <w:style w:type="paragraph" w:styleId="af0">
    <w:name w:val="footer"/>
    <w:basedOn w:val="a"/>
    <w:link w:val="af1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4C3"/>
  </w:style>
  <w:style w:type="character" w:styleId="af2">
    <w:name w:val="Emphasis"/>
    <w:basedOn w:val="a0"/>
    <w:uiPriority w:val="99"/>
    <w:qFormat/>
    <w:locked/>
    <w:rsid w:val="00D065FD"/>
    <w:rPr>
      <w:i/>
      <w:iCs/>
    </w:rPr>
  </w:style>
  <w:style w:type="character" w:customStyle="1" w:styleId="af3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97421A"/>
  </w:style>
  <w:style w:type="paragraph" w:customStyle="1" w:styleId="af4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sz w:val="22"/>
      <w:szCs w:val="22"/>
      <w:lang w:eastAsia="en-US"/>
    </w:rPr>
  </w:style>
  <w:style w:type="paragraph" w:customStyle="1" w:styleId="af5">
    <w:name w:val="Стиль"/>
    <w:basedOn w:val="a"/>
    <w:next w:val="af6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"/>
    <w:link w:val="af7"/>
    <w:uiPriority w:val="99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2B2647"/>
    <w:rPr>
      <w:rFonts w:ascii="Cambria" w:hAnsi="Cambria" w:cs="Cambria"/>
      <w:sz w:val="24"/>
      <w:szCs w:val="24"/>
      <w:lang w:eastAsia="en-US"/>
    </w:rPr>
  </w:style>
  <w:style w:type="paragraph" w:customStyle="1" w:styleId="ListParagraph">
    <w:name w:val="List Paragraph"/>
    <w:basedOn w:val="a"/>
    <w:rsid w:val="00FD708B"/>
    <w:pPr>
      <w:ind w:left="720"/>
      <w:contextualSpacing/>
    </w:pPr>
    <w:rPr>
      <w:rFonts w:eastAsia="Times New Roman" w:cs="Times New Roman"/>
    </w:rPr>
  </w:style>
  <w:style w:type="character" w:styleId="af8">
    <w:name w:val="Hyperlink"/>
    <w:basedOn w:val="a0"/>
    <w:uiPriority w:val="99"/>
    <w:rsid w:val="003D34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udkchr.ru/dom-internat-obshhego-tipa-dlya-prestarely-h-i-invalid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A582-21B6-4967-9F95-82736CB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17</Pages>
  <Words>4382</Words>
  <Characters>24980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Отчет в Народное собрание Карачаево-Черкесской Республики.</vt:lpstr>
      <vt:lpstr>2.Представление в Министерство образования и науки КЧР.</vt:lpstr>
      <vt:lpstr>3.Представление в КЧРГБПОО «Многопрофильный технологический колледж».</vt:lpstr>
      <vt:lpstr/>
    </vt:vector>
  </TitlesOfParts>
  <Company/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137</cp:revision>
  <cp:lastPrinted>2019-02-27T10:40:00Z</cp:lastPrinted>
  <dcterms:created xsi:type="dcterms:W3CDTF">2018-08-06T11:00:00Z</dcterms:created>
  <dcterms:modified xsi:type="dcterms:W3CDTF">2019-05-16T13:46:00Z</dcterms:modified>
</cp:coreProperties>
</file>